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Toc167700158"/>
    <w:bookmarkStart w:id="1" w:name="_Toc167700215"/>
    <w:p w:rsidR="008D3F1C" w:rsidRDefault="0014259A" w:rsidP="00EC37BB">
      <w:pPr>
        <w:pStyle w:val="-OlWIRBeitragstitel-"/>
      </w:pPr>
      <w:r>
        <w:rPr>
          <w:noProof/>
        </w:rPr>
        <mc:AlternateContent>
          <mc:Choice Requires="wps">
            <w:drawing>
              <wp:anchor distT="0" distB="0" distL="114300" distR="114300" simplePos="0" relativeHeight="251657728" behindDoc="0" locked="0" layoutInCell="1" allowOverlap="1" wp14:anchorId="00BA043A" wp14:editId="7B40E4FB">
                <wp:simplePos x="0" y="0"/>
                <wp:positionH relativeFrom="column">
                  <wp:posOffset>-1119505</wp:posOffset>
                </wp:positionH>
                <wp:positionV relativeFrom="paragraph">
                  <wp:posOffset>85725</wp:posOffset>
                </wp:positionV>
                <wp:extent cx="1683385" cy="107950"/>
                <wp:effectExtent l="4445" t="0" r="0" b="0"/>
                <wp:wrapNone/>
                <wp:docPr id="2"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3385" cy="10795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88.15pt;margin-top:6.75pt;width:132.55pt;height: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" fillcolor="gray" stroked="f"/>
            </w:pict>
          </mc:Fallback>
        </mc:AlternateContent>
      </w:r>
      <w:bookmarkEnd w:id="0"/>
      <w:bookmarkEnd w:id="1"/>
      <w:r w:rsidR="00B46537">
        <w:t>Das neue Geschäftsgeheimnis–gesetz</w:t>
      </w:r>
      <w:r w:rsidR="008B50BA">
        <w:t xml:space="preserve"> –</w:t>
      </w:r>
      <w:r w:rsidR="006C2434">
        <w:t xml:space="preserve"> </w:t>
      </w:r>
      <w:r w:rsidR="00725CCA">
        <w:t xml:space="preserve">Betriebliche </w:t>
      </w:r>
      <w:r w:rsidR="006C2434">
        <w:t xml:space="preserve">Umsetzung der </w:t>
      </w:r>
      <w:r w:rsidR="00491325">
        <w:t>Schutzvoraussetzungen</w:t>
      </w:r>
    </w:p>
    <w:p w:rsidR="008D3F1C" w:rsidRPr="00D2399B" w:rsidRDefault="00F36ED4" w:rsidP="008D3F1C">
      <w:pPr>
        <w:pStyle w:val="-OlWIRBeitragsautoren-"/>
      </w:pPr>
      <w:r w:rsidRPr="00D2399B">
        <w:t>Rechtsanwalt</w:t>
      </w:r>
      <w:r w:rsidR="006C2434" w:rsidRPr="00D2399B">
        <w:t xml:space="preserve"> </w:t>
      </w:r>
      <w:r w:rsidR="00DC6ED0" w:rsidRPr="00D2399B">
        <w:t>Dr. Oliver M. Habel</w:t>
      </w:r>
    </w:p>
    <w:p w:rsidR="008D3F1C" w:rsidRPr="00D2399B" w:rsidRDefault="00DC6ED0" w:rsidP="008D3F1C">
      <w:pPr>
        <w:pStyle w:val="-OlWIRBeitragsautorenAdresse-"/>
      </w:pPr>
      <w:r w:rsidRPr="00D2399B">
        <w:t>tecLEGAL Rechtsanwälte, München</w:t>
      </w:r>
      <w:r w:rsidR="0059430F" w:rsidRPr="00D2399B">
        <w:br/>
      </w:r>
      <w:r w:rsidRPr="00D2399B">
        <w:t>habel@teclegal-habel</w:t>
      </w:r>
      <w:r w:rsidR="008D3F1C" w:rsidRPr="00D2399B">
        <w:t>.de</w:t>
      </w:r>
    </w:p>
    <w:p w:rsidR="002452C8" w:rsidRPr="00AB6848" w:rsidRDefault="002452C8" w:rsidP="002452C8">
      <w:pPr>
        <w:pStyle w:val="-OlWIRZusammenfassung-"/>
      </w:pPr>
      <w:r w:rsidRPr="00AB6848">
        <w:t>Zusammenfassung</w:t>
      </w:r>
    </w:p>
    <w:p w:rsidR="002452C8" w:rsidRPr="006B0257" w:rsidRDefault="008B50BA" w:rsidP="0077348E">
      <w:pPr>
        <w:pStyle w:val="-OlWIRZusammenfassungText-"/>
      </w:pPr>
      <w:r>
        <w:t xml:space="preserve">Das </w:t>
      </w:r>
      <w:r w:rsidR="00D241D3">
        <w:t xml:space="preserve">Geschäftsgeheimnisgesetz vom 18.04.2019 </w:t>
      </w:r>
      <w:r w:rsidR="006C2434">
        <w:t xml:space="preserve">schafft ein starkes Abwehrrecht zum Schutz von </w:t>
      </w:r>
      <w:r w:rsidR="00D241D3">
        <w:t>Geschäftsgeheimniss</w:t>
      </w:r>
      <w:r w:rsidR="006C2434">
        <w:t>en</w:t>
      </w:r>
      <w:r w:rsidR="00D241D3">
        <w:t xml:space="preserve">, die </w:t>
      </w:r>
      <w:r w:rsidR="00725CCA">
        <w:t xml:space="preserve">vom Geheimnisinhaber </w:t>
      </w:r>
      <w:r w:rsidR="00D241D3">
        <w:t>durch ge</w:t>
      </w:r>
      <w:r w:rsidR="006C2434">
        <w:t>eignete Schutzvorkehru</w:t>
      </w:r>
      <w:r w:rsidR="006C2434">
        <w:t>n</w:t>
      </w:r>
      <w:r w:rsidR="006C2434">
        <w:t xml:space="preserve">gen </w:t>
      </w:r>
      <w:r w:rsidR="00725CCA">
        <w:t>nachweisbar geschützt wu</w:t>
      </w:r>
      <w:r w:rsidR="00D241D3">
        <w:t>rden. Der Beitrag gibt einen Überblick über die materiellen Rechte des Geheimnisinhabe</w:t>
      </w:r>
      <w:r w:rsidR="006C2434">
        <w:t>rs bzw. auch über die Grenzen diese</w:t>
      </w:r>
      <w:r w:rsidR="00D241D3">
        <w:t>r Rechte sowie der daraus entstehenden gesetzlichen Ansprüche. Es schließen sich praktische Hinweise zur Umsetzung des Geschäftsgeheimnisgesetzes in der betrieblichen Praxis eines Unternehmens als Gehei</w:t>
      </w:r>
      <w:r w:rsidR="00D241D3">
        <w:t>m</w:t>
      </w:r>
      <w:r w:rsidR="00D241D3">
        <w:t>nisinhaber an. Der gesetzliche Geschäftsgeheimnisschutz ersetzt keine Geheimhaltungsve</w:t>
      </w:r>
      <w:r w:rsidR="00D241D3">
        <w:t>r</w:t>
      </w:r>
      <w:r w:rsidR="00D241D3">
        <w:t>einbarungen, sondern gewährt einen ge</w:t>
      </w:r>
      <w:r w:rsidR="00725CCA">
        <w:t>setzlichen Rechtsschutz neben eine</w:t>
      </w:r>
      <w:r w:rsidR="00D241D3">
        <w:t>m auch weiter ausge</w:t>
      </w:r>
      <w:r w:rsidR="00725CCA">
        <w:t>staltbaren</w:t>
      </w:r>
      <w:r w:rsidR="00D241D3">
        <w:t xml:space="preserve"> Schutz der Vertraulichkeit durch vertragliche </w:t>
      </w:r>
      <w:r w:rsidR="00725CCA">
        <w:t>Geheimhaltung</w:t>
      </w:r>
      <w:r w:rsidR="00D241D3">
        <w:t>sregelu</w:t>
      </w:r>
      <w:r w:rsidR="00725CCA">
        <w:t>ngen (Non-</w:t>
      </w:r>
      <w:proofErr w:type="spellStart"/>
      <w:r w:rsidR="00725CCA">
        <w:t>Disclosure</w:t>
      </w:r>
      <w:proofErr w:type="spellEnd"/>
      <w:r w:rsidR="00725CCA">
        <w:t>-Agreement bzw. „</w:t>
      </w:r>
      <w:r w:rsidR="00D241D3">
        <w:t>NDA</w:t>
      </w:r>
      <w:r w:rsidR="00725CCA">
        <w:t>“</w:t>
      </w:r>
      <w:r w:rsidR="00D241D3">
        <w:t xml:space="preserve">). </w:t>
      </w:r>
    </w:p>
    <w:p w:rsidR="000A504C" w:rsidRDefault="00D241D3">
      <w:pPr>
        <w:pStyle w:val="-OlWIRberschrift1-"/>
        <w:jc w:val="both"/>
      </w:pPr>
      <w:r>
        <w:t>Rechte und Ansprüche sowie Anspruchsgrenzen des Geschäftsgeheimnisgesetzes</w:t>
      </w:r>
    </w:p>
    <w:p w:rsidR="000A504C" w:rsidRDefault="00397F44" w:rsidP="00D420AA">
      <w:pPr>
        <w:pStyle w:val="-OlWIRberschrift2-"/>
      </w:pPr>
      <w:r>
        <w:t>V</w:t>
      </w:r>
      <w:r w:rsidR="00884A38">
        <w:t>orbemerkung</w:t>
      </w:r>
    </w:p>
    <w:p w:rsidR="000A504C" w:rsidRPr="00CC0E61" w:rsidRDefault="00884A38">
      <w:pPr>
        <w:pStyle w:val="-OlWIRStandardtext-"/>
      </w:pPr>
      <w:r>
        <w:t>Gesetzesrecht i</w:t>
      </w:r>
      <w:r w:rsidR="00397F44">
        <w:t xml:space="preserve">m Zivilrecht </w:t>
      </w:r>
      <w:r w:rsidR="00725CCA">
        <w:t>kann Vertragsgestaltungen vereinfachen und a</w:t>
      </w:r>
      <w:r w:rsidR="00397F44">
        <w:t>bkü</w:t>
      </w:r>
      <w:r w:rsidR="00397F44">
        <w:t>r</w:t>
      </w:r>
      <w:r w:rsidR="00397F44">
        <w:t xml:space="preserve">zen, weil </w:t>
      </w:r>
      <w:r w:rsidR="00725CCA">
        <w:t xml:space="preserve">auf die gesetzlichen Regelungen </w:t>
      </w:r>
      <w:r w:rsidR="00397F44">
        <w:t>B</w:t>
      </w:r>
      <w:r w:rsidR="00725CCA">
        <w:t>ezug genommen werden kann. Bei ein</w:t>
      </w:r>
      <w:r w:rsidR="00397F44">
        <w:t xml:space="preserve">er wie vorliegend Umsetzung einer EU-Richtlinie in nationales Recht kommt der </w:t>
      </w:r>
      <w:r w:rsidR="00FF6348">
        <w:t>Vorteil hinzu</w:t>
      </w:r>
      <w:r w:rsidR="00BB0BD0">
        <w:t xml:space="preserve">, dass der Gesetzesinhalt EU-weit </w:t>
      </w:r>
      <w:r w:rsidR="00FF6348">
        <w:t xml:space="preserve">zumindest in weiten Teilen harmonisiert ist und bei Auslegungsfragen </w:t>
      </w:r>
      <w:r w:rsidR="00725CCA">
        <w:t xml:space="preserve">auch </w:t>
      </w:r>
      <w:r w:rsidR="00FF6348">
        <w:t xml:space="preserve">auf die betreffende EU-Richtlinie zurückgegriffen werden kann. </w:t>
      </w:r>
    </w:p>
    <w:p w:rsidR="000A504C" w:rsidRDefault="00725CCA" w:rsidP="00D420AA">
      <w:pPr>
        <w:pStyle w:val="-OlWIRberschrift2-"/>
      </w:pPr>
      <w:r>
        <w:t>Einleitend zum Anwendungsbereich</w:t>
      </w:r>
    </w:p>
    <w:p w:rsidR="000A504C" w:rsidRPr="00BB27B8" w:rsidRDefault="0057556E" w:rsidP="00BB27B8">
      <w:pPr>
        <w:pStyle w:val="-OlWIRberschrift3-"/>
        <w:spacing w:line="320" w:lineRule="exact"/>
        <w:jc w:val="both"/>
        <w:rPr>
          <w:rFonts w:ascii="Times New Roman" w:hAnsi="Times New Roman"/>
          <w:sz w:val="26"/>
          <w:szCs w:val="26"/>
        </w:rPr>
      </w:pPr>
      <w:r w:rsidRPr="00BB27B8">
        <w:rPr>
          <w:rFonts w:ascii="Times New Roman" w:hAnsi="Times New Roman"/>
          <w:sz w:val="26"/>
          <w:szCs w:val="26"/>
        </w:rPr>
        <w:t>Das Geschäftsgeheimnisgesetz (GeschGehG) ersetzt die bisherigen §§ 17 bis 19 UWG, „Verrat von Geschäfts und Betriebs</w:t>
      </w:r>
      <w:r w:rsidR="00491325">
        <w:rPr>
          <w:rFonts w:ascii="Times New Roman" w:hAnsi="Times New Roman"/>
          <w:sz w:val="26"/>
          <w:szCs w:val="26"/>
        </w:rPr>
        <w:t>geheimnissen“, und geht über deren</w:t>
      </w:r>
      <w:r w:rsidRPr="00BB27B8">
        <w:rPr>
          <w:rFonts w:ascii="Times New Roman" w:hAnsi="Times New Roman"/>
          <w:sz w:val="26"/>
          <w:szCs w:val="26"/>
        </w:rPr>
        <w:t xml:space="preserve"> bisherige</w:t>
      </w:r>
      <w:r w:rsidR="00491325">
        <w:rPr>
          <w:rFonts w:ascii="Times New Roman" w:hAnsi="Times New Roman"/>
          <w:sz w:val="26"/>
          <w:szCs w:val="26"/>
        </w:rPr>
        <w:t>m</w:t>
      </w:r>
      <w:r w:rsidRPr="00BB27B8">
        <w:rPr>
          <w:rFonts w:ascii="Times New Roman" w:hAnsi="Times New Roman"/>
          <w:sz w:val="26"/>
          <w:szCs w:val="26"/>
        </w:rPr>
        <w:t xml:space="preserve"> Regelung</w:t>
      </w:r>
      <w:r w:rsidR="00491325">
        <w:rPr>
          <w:rFonts w:ascii="Times New Roman" w:hAnsi="Times New Roman"/>
          <w:sz w:val="26"/>
          <w:szCs w:val="26"/>
        </w:rPr>
        <w:t>sinhalt</w:t>
      </w:r>
      <w:r w:rsidRPr="00BB27B8">
        <w:rPr>
          <w:rFonts w:ascii="Times New Roman" w:hAnsi="Times New Roman"/>
          <w:sz w:val="26"/>
          <w:szCs w:val="26"/>
        </w:rPr>
        <w:t xml:space="preserve"> deutlich hinaus.</w:t>
      </w:r>
    </w:p>
    <w:p w:rsidR="00726B34" w:rsidRPr="00732A9C" w:rsidRDefault="00491325" w:rsidP="00732A9C">
      <w:pPr>
        <w:pStyle w:val="-OlWIRberschrift3-"/>
        <w:spacing w:line="320" w:lineRule="exact"/>
        <w:jc w:val="both"/>
        <w:rPr>
          <w:rFonts w:ascii="Times New Roman" w:hAnsi="Times New Roman"/>
          <w:sz w:val="26"/>
          <w:szCs w:val="26"/>
        </w:rPr>
      </w:pPr>
      <w:r>
        <w:rPr>
          <w:rFonts w:ascii="Times New Roman" w:hAnsi="Times New Roman"/>
          <w:sz w:val="26"/>
          <w:szCs w:val="26"/>
        </w:rPr>
        <w:t>Der Begriff „Geschäftsgeheimnis“ kan</w:t>
      </w:r>
      <w:r w:rsidR="00726B34" w:rsidRPr="00BB27B8">
        <w:rPr>
          <w:rFonts w:ascii="Times New Roman" w:hAnsi="Times New Roman"/>
          <w:sz w:val="26"/>
          <w:szCs w:val="26"/>
        </w:rPr>
        <w:t xml:space="preserve">n nicht mit dem Begriff „geheimes Know-how“ gleichgesetzt werden, es sei denn, das „geheime Know-how“ lässt sich </w:t>
      </w:r>
      <w:r w:rsidR="00725CCA">
        <w:rPr>
          <w:rFonts w:ascii="Times New Roman" w:hAnsi="Times New Roman"/>
          <w:sz w:val="26"/>
          <w:szCs w:val="26"/>
        </w:rPr>
        <w:t xml:space="preserve">selbst </w:t>
      </w:r>
      <w:r w:rsidR="00726B34" w:rsidRPr="00BB27B8">
        <w:rPr>
          <w:rFonts w:ascii="Times New Roman" w:hAnsi="Times New Roman"/>
          <w:sz w:val="26"/>
          <w:szCs w:val="26"/>
        </w:rPr>
        <w:t>unter die Definition des Geschäftsgeheimnisses in § 2 Nr. 1 GeschGehG subsumieren. „Know-how“ findet eine gesetzliche Definition in der EU-TT-</w:t>
      </w:r>
      <w:r w:rsidR="000550C1">
        <w:rPr>
          <w:rStyle w:val="Funotenzeichen"/>
          <w:szCs w:val="26"/>
        </w:rPr>
        <w:footnoteReference w:id="1"/>
      </w:r>
      <w:r w:rsidR="00726B34" w:rsidRPr="00BB27B8">
        <w:rPr>
          <w:rFonts w:ascii="Times New Roman" w:hAnsi="Times New Roman"/>
          <w:sz w:val="26"/>
          <w:szCs w:val="26"/>
        </w:rPr>
        <w:t xml:space="preserve"> und in der F&amp;E-GVO</w:t>
      </w:r>
      <w:r w:rsidR="000550C1">
        <w:rPr>
          <w:rStyle w:val="Funotenzeichen"/>
          <w:szCs w:val="26"/>
        </w:rPr>
        <w:footnoteReference w:id="2"/>
      </w:r>
      <w:r w:rsidR="00726B34" w:rsidRPr="00BB27B8">
        <w:rPr>
          <w:rFonts w:ascii="Times New Roman" w:hAnsi="Times New Roman"/>
          <w:sz w:val="26"/>
          <w:szCs w:val="26"/>
        </w:rPr>
        <w:t xml:space="preserve"> als Kenntnisse, die geheim, wesen</w:t>
      </w:r>
      <w:r w:rsidR="00726B34" w:rsidRPr="00BB27B8">
        <w:rPr>
          <w:rFonts w:ascii="Times New Roman" w:hAnsi="Times New Roman"/>
          <w:sz w:val="26"/>
          <w:szCs w:val="26"/>
        </w:rPr>
        <w:t>t</w:t>
      </w:r>
      <w:r w:rsidR="00726B34" w:rsidRPr="00BB27B8">
        <w:rPr>
          <w:rFonts w:ascii="Times New Roman" w:hAnsi="Times New Roman"/>
          <w:sz w:val="26"/>
          <w:szCs w:val="26"/>
        </w:rPr>
        <w:lastRenderedPageBreak/>
        <w:t xml:space="preserve">lich und identifiziert sind. </w:t>
      </w:r>
      <w:r w:rsidR="00E342D0" w:rsidRPr="00BB27B8">
        <w:rPr>
          <w:rFonts w:ascii="Times New Roman" w:hAnsi="Times New Roman"/>
          <w:sz w:val="26"/>
          <w:szCs w:val="26"/>
        </w:rPr>
        <w:t>Die EU-Geschäftsgeheimnis-Richtlinie</w:t>
      </w:r>
      <w:r w:rsidR="000550C1">
        <w:rPr>
          <w:rStyle w:val="Funotenzeichen"/>
          <w:szCs w:val="26"/>
        </w:rPr>
        <w:footnoteReference w:id="3"/>
      </w:r>
      <w:r w:rsidR="00E342D0" w:rsidRPr="00BB27B8">
        <w:rPr>
          <w:rFonts w:ascii="Times New Roman" w:hAnsi="Times New Roman"/>
          <w:sz w:val="26"/>
          <w:szCs w:val="26"/>
        </w:rPr>
        <w:t xml:space="preserve"> und das GeschGehG werden dagegen definiert als Informationen,</w:t>
      </w:r>
      <w:r w:rsidR="00725CCA">
        <w:rPr>
          <w:rFonts w:ascii="Times New Roman" w:hAnsi="Times New Roman"/>
          <w:sz w:val="26"/>
          <w:szCs w:val="26"/>
        </w:rPr>
        <w:t xml:space="preserve"> die</w:t>
      </w:r>
      <w:r w:rsidR="00E342D0" w:rsidRPr="00BB27B8">
        <w:rPr>
          <w:rFonts w:ascii="Times New Roman" w:hAnsi="Times New Roman"/>
          <w:sz w:val="26"/>
          <w:szCs w:val="26"/>
        </w:rPr>
        <w:t xml:space="preserve"> von wir</w:t>
      </w:r>
      <w:r w:rsidR="00E342D0" w:rsidRPr="00BB27B8">
        <w:rPr>
          <w:rFonts w:ascii="Times New Roman" w:hAnsi="Times New Roman"/>
          <w:sz w:val="26"/>
          <w:szCs w:val="26"/>
        </w:rPr>
        <w:t>t</w:t>
      </w:r>
      <w:r w:rsidR="00E342D0" w:rsidRPr="00BB27B8">
        <w:rPr>
          <w:rFonts w:ascii="Times New Roman" w:hAnsi="Times New Roman"/>
          <w:sz w:val="26"/>
          <w:szCs w:val="26"/>
        </w:rPr>
        <w:t>schaftlichem Wert</w:t>
      </w:r>
      <w:r w:rsidR="00725CCA">
        <w:rPr>
          <w:rFonts w:ascii="Times New Roman" w:hAnsi="Times New Roman"/>
          <w:sz w:val="26"/>
          <w:szCs w:val="26"/>
        </w:rPr>
        <w:t xml:space="preserve"> sind</w:t>
      </w:r>
      <w:r>
        <w:rPr>
          <w:rFonts w:ascii="Times New Roman" w:hAnsi="Times New Roman"/>
          <w:sz w:val="26"/>
          <w:szCs w:val="26"/>
        </w:rPr>
        <w:t xml:space="preserve"> und</w:t>
      </w:r>
      <w:r w:rsidR="00E342D0" w:rsidRPr="00BB27B8">
        <w:rPr>
          <w:rFonts w:ascii="Times New Roman" w:hAnsi="Times New Roman"/>
          <w:sz w:val="26"/>
          <w:szCs w:val="26"/>
        </w:rPr>
        <w:t xml:space="preserve"> </w:t>
      </w:r>
      <w:r w:rsidR="00725CCA">
        <w:rPr>
          <w:rFonts w:ascii="Times New Roman" w:hAnsi="Times New Roman"/>
          <w:sz w:val="26"/>
          <w:szCs w:val="26"/>
        </w:rPr>
        <w:t>die durch angemessene</w:t>
      </w:r>
      <w:r w:rsidR="00E342D0" w:rsidRPr="00BB27B8">
        <w:rPr>
          <w:rFonts w:ascii="Times New Roman" w:hAnsi="Times New Roman"/>
          <w:sz w:val="26"/>
          <w:szCs w:val="26"/>
        </w:rPr>
        <w:t xml:space="preserve"> Geheimhaltungsma</w:t>
      </w:r>
      <w:r w:rsidR="00E342D0" w:rsidRPr="00BB27B8">
        <w:rPr>
          <w:rFonts w:ascii="Times New Roman" w:hAnsi="Times New Roman"/>
          <w:sz w:val="26"/>
          <w:szCs w:val="26"/>
        </w:rPr>
        <w:t>ß</w:t>
      </w:r>
      <w:r w:rsidR="00E342D0" w:rsidRPr="00BB27B8">
        <w:rPr>
          <w:rFonts w:ascii="Times New Roman" w:hAnsi="Times New Roman"/>
          <w:sz w:val="26"/>
          <w:szCs w:val="26"/>
        </w:rPr>
        <w:t xml:space="preserve">nahmen </w:t>
      </w:r>
      <w:r w:rsidR="00725CCA">
        <w:rPr>
          <w:rFonts w:ascii="Times New Roman" w:hAnsi="Times New Roman"/>
          <w:sz w:val="26"/>
          <w:szCs w:val="26"/>
        </w:rPr>
        <w:t>geschützt werden</w:t>
      </w:r>
      <w:r>
        <w:rPr>
          <w:rFonts w:ascii="Times New Roman" w:hAnsi="Times New Roman"/>
          <w:sz w:val="26"/>
          <w:szCs w:val="26"/>
        </w:rPr>
        <w:t>,</w:t>
      </w:r>
      <w:r w:rsidR="00725CCA">
        <w:rPr>
          <w:rFonts w:ascii="Times New Roman" w:hAnsi="Times New Roman"/>
          <w:sz w:val="26"/>
          <w:szCs w:val="26"/>
        </w:rPr>
        <w:t xml:space="preserve"> </w:t>
      </w:r>
      <w:r w:rsidR="00E342D0" w:rsidRPr="00732A9C">
        <w:rPr>
          <w:rFonts w:ascii="Times New Roman" w:hAnsi="Times New Roman"/>
          <w:sz w:val="26"/>
          <w:szCs w:val="26"/>
        </w:rPr>
        <w:t xml:space="preserve">ohne </w:t>
      </w:r>
      <w:r w:rsidR="00732A9C">
        <w:rPr>
          <w:rFonts w:ascii="Times New Roman" w:hAnsi="Times New Roman"/>
          <w:sz w:val="26"/>
          <w:szCs w:val="26"/>
        </w:rPr>
        <w:t xml:space="preserve">dass </w:t>
      </w:r>
      <w:r>
        <w:rPr>
          <w:rFonts w:ascii="Times New Roman" w:hAnsi="Times New Roman"/>
          <w:sz w:val="26"/>
          <w:szCs w:val="26"/>
        </w:rPr>
        <w:t xml:space="preserve">es </w:t>
      </w:r>
      <w:r w:rsidR="00732A9C">
        <w:rPr>
          <w:rFonts w:ascii="Times New Roman" w:hAnsi="Times New Roman"/>
          <w:sz w:val="26"/>
          <w:szCs w:val="26"/>
        </w:rPr>
        <w:t>ein</w:t>
      </w:r>
      <w:r w:rsidR="00E342D0" w:rsidRPr="00732A9C">
        <w:rPr>
          <w:rFonts w:ascii="Times New Roman" w:hAnsi="Times New Roman"/>
          <w:sz w:val="26"/>
          <w:szCs w:val="26"/>
        </w:rPr>
        <w:t xml:space="preserve"> </w:t>
      </w:r>
      <w:r w:rsidR="00732A9C">
        <w:rPr>
          <w:rFonts w:ascii="Times New Roman" w:hAnsi="Times New Roman"/>
          <w:sz w:val="26"/>
          <w:szCs w:val="26"/>
        </w:rPr>
        <w:t xml:space="preserve">Tatbestandsmerkmal </w:t>
      </w:r>
      <w:r w:rsidR="00E342D0" w:rsidRPr="00732A9C">
        <w:rPr>
          <w:rFonts w:ascii="Times New Roman" w:hAnsi="Times New Roman"/>
          <w:sz w:val="26"/>
          <w:szCs w:val="26"/>
        </w:rPr>
        <w:t>„identif</w:t>
      </w:r>
      <w:r w:rsidR="00E342D0" w:rsidRPr="00732A9C">
        <w:rPr>
          <w:rFonts w:ascii="Times New Roman" w:hAnsi="Times New Roman"/>
          <w:sz w:val="26"/>
          <w:szCs w:val="26"/>
        </w:rPr>
        <w:t>i</w:t>
      </w:r>
      <w:r w:rsidR="00E342D0" w:rsidRPr="00732A9C">
        <w:rPr>
          <w:rFonts w:ascii="Times New Roman" w:hAnsi="Times New Roman"/>
          <w:sz w:val="26"/>
          <w:szCs w:val="26"/>
        </w:rPr>
        <w:t>ziert“</w:t>
      </w:r>
      <w:r w:rsidR="00F36ED4">
        <w:rPr>
          <w:rFonts w:ascii="Times New Roman" w:hAnsi="Times New Roman"/>
          <w:sz w:val="26"/>
          <w:szCs w:val="26"/>
        </w:rPr>
        <w:t xml:space="preserve"> </w:t>
      </w:r>
      <w:r>
        <w:rPr>
          <w:rFonts w:ascii="Times New Roman" w:hAnsi="Times New Roman"/>
          <w:sz w:val="26"/>
          <w:szCs w:val="26"/>
        </w:rPr>
        <w:t>gibt</w:t>
      </w:r>
      <w:r w:rsidR="00E342D0" w:rsidRPr="00732A9C">
        <w:rPr>
          <w:rFonts w:ascii="Times New Roman" w:hAnsi="Times New Roman"/>
          <w:sz w:val="26"/>
          <w:szCs w:val="26"/>
        </w:rPr>
        <w:t xml:space="preserve">, also ohne dass das Geschäftsgeheimnis </w:t>
      </w:r>
      <w:r>
        <w:rPr>
          <w:rFonts w:ascii="Times New Roman" w:hAnsi="Times New Roman"/>
          <w:sz w:val="26"/>
          <w:szCs w:val="26"/>
        </w:rPr>
        <w:t xml:space="preserve">als Schutzvoraussetzung </w:t>
      </w:r>
      <w:r w:rsidR="00E342D0" w:rsidRPr="00732A9C">
        <w:rPr>
          <w:rFonts w:ascii="Times New Roman" w:hAnsi="Times New Roman"/>
          <w:sz w:val="26"/>
          <w:szCs w:val="26"/>
        </w:rPr>
        <w:t xml:space="preserve">konkret benannt werden muss. </w:t>
      </w:r>
    </w:p>
    <w:p w:rsidR="00E5466C" w:rsidRPr="00BB27B8" w:rsidRDefault="00E5466C" w:rsidP="00BB27B8">
      <w:pPr>
        <w:pStyle w:val="-OlWIRberschrift3-"/>
        <w:spacing w:line="320" w:lineRule="exact"/>
        <w:jc w:val="both"/>
        <w:rPr>
          <w:rFonts w:ascii="Times New Roman" w:hAnsi="Times New Roman"/>
          <w:sz w:val="26"/>
          <w:szCs w:val="26"/>
        </w:rPr>
      </w:pPr>
      <w:r w:rsidRPr="00BB27B8">
        <w:rPr>
          <w:rFonts w:ascii="Times New Roman" w:hAnsi="Times New Roman"/>
          <w:sz w:val="26"/>
          <w:szCs w:val="26"/>
        </w:rPr>
        <w:tab/>
        <w:t>Die Anwendbarkeit des GeschGehG ist gegenüber anderen gesetzlichen Regelungen abzugrenzen, wie zum Beispiel im Arbeitsrecht die Kommun</w:t>
      </w:r>
      <w:r w:rsidRPr="00BB27B8">
        <w:rPr>
          <w:rFonts w:ascii="Times New Roman" w:hAnsi="Times New Roman"/>
          <w:sz w:val="26"/>
          <w:szCs w:val="26"/>
        </w:rPr>
        <w:t>i</w:t>
      </w:r>
      <w:r w:rsidRPr="00BB27B8">
        <w:rPr>
          <w:rFonts w:ascii="Times New Roman" w:hAnsi="Times New Roman"/>
          <w:sz w:val="26"/>
          <w:szCs w:val="26"/>
        </w:rPr>
        <w:t>kation zwischen Arbeitnehmer und</w:t>
      </w:r>
      <w:r w:rsidR="00732A9C">
        <w:rPr>
          <w:rFonts w:ascii="Times New Roman" w:hAnsi="Times New Roman"/>
          <w:sz w:val="26"/>
          <w:szCs w:val="26"/>
        </w:rPr>
        <w:t xml:space="preserve"> Arbeitnehmervertreter, im</w:t>
      </w:r>
      <w:r w:rsidRPr="00BB27B8">
        <w:rPr>
          <w:rFonts w:ascii="Times New Roman" w:hAnsi="Times New Roman"/>
          <w:sz w:val="26"/>
          <w:szCs w:val="26"/>
        </w:rPr>
        <w:t xml:space="preserve"> Handelsve</w:t>
      </w:r>
      <w:r w:rsidRPr="00BB27B8">
        <w:rPr>
          <w:rFonts w:ascii="Times New Roman" w:hAnsi="Times New Roman"/>
          <w:sz w:val="26"/>
          <w:szCs w:val="26"/>
        </w:rPr>
        <w:t>r</w:t>
      </w:r>
      <w:r w:rsidRPr="00BB27B8">
        <w:rPr>
          <w:rFonts w:ascii="Times New Roman" w:hAnsi="Times New Roman"/>
          <w:sz w:val="26"/>
          <w:szCs w:val="26"/>
        </w:rPr>
        <w:t>tre</w:t>
      </w:r>
      <w:r w:rsidR="00732A9C">
        <w:rPr>
          <w:rFonts w:ascii="Times New Roman" w:hAnsi="Times New Roman"/>
          <w:sz w:val="26"/>
          <w:szCs w:val="26"/>
        </w:rPr>
        <w:t>terrecht die</w:t>
      </w:r>
      <w:r w:rsidRPr="00BB27B8">
        <w:rPr>
          <w:rFonts w:ascii="Times New Roman" w:hAnsi="Times New Roman"/>
          <w:sz w:val="26"/>
          <w:szCs w:val="26"/>
        </w:rPr>
        <w:t xml:space="preserve"> Regelungen in §§ 90, 90 a HGB (Geschäfts- und Betriebsg</w:t>
      </w:r>
      <w:r w:rsidRPr="00BB27B8">
        <w:rPr>
          <w:rFonts w:ascii="Times New Roman" w:hAnsi="Times New Roman"/>
          <w:sz w:val="26"/>
          <w:szCs w:val="26"/>
        </w:rPr>
        <w:t>e</w:t>
      </w:r>
      <w:r w:rsidRPr="00BB27B8">
        <w:rPr>
          <w:rFonts w:ascii="Times New Roman" w:hAnsi="Times New Roman"/>
          <w:sz w:val="26"/>
          <w:szCs w:val="26"/>
        </w:rPr>
        <w:t>heimnis; Wettbewerbsverbot), im Datenschutzrecht, berufsrechtlicher und strafrechtlicher Schutz, zum Beispiel § 203 StGB</w:t>
      </w:r>
      <w:r w:rsidR="00732A9C">
        <w:rPr>
          <w:rFonts w:ascii="Times New Roman" w:hAnsi="Times New Roman"/>
          <w:sz w:val="26"/>
          <w:szCs w:val="26"/>
        </w:rPr>
        <w:t xml:space="preserve"> (Verletzung von Priva</w:t>
      </w:r>
      <w:r w:rsidR="00732A9C">
        <w:rPr>
          <w:rFonts w:ascii="Times New Roman" w:hAnsi="Times New Roman"/>
          <w:sz w:val="26"/>
          <w:szCs w:val="26"/>
        </w:rPr>
        <w:t>t</w:t>
      </w:r>
      <w:r w:rsidR="00732A9C">
        <w:rPr>
          <w:rFonts w:ascii="Times New Roman" w:hAnsi="Times New Roman"/>
          <w:sz w:val="26"/>
          <w:szCs w:val="26"/>
        </w:rPr>
        <w:t>geheimnisse) oder</w:t>
      </w:r>
      <w:r w:rsidRPr="00BB27B8">
        <w:rPr>
          <w:rFonts w:ascii="Times New Roman" w:hAnsi="Times New Roman"/>
          <w:sz w:val="26"/>
          <w:szCs w:val="26"/>
        </w:rPr>
        <w:t xml:space="preserve"> die Meinungs- und Pressefreiheit, vgl. § 5 GeschGehG. </w:t>
      </w:r>
    </w:p>
    <w:p w:rsidR="00E5466C" w:rsidRPr="00BB27B8" w:rsidRDefault="00E5466C" w:rsidP="00BB27B8">
      <w:pPr>
        <w:pStyle w:val="-OlWIRberschrift3-"/>
        <w:spacing w:line="320" w:lineRule="exact"/>
        <w:jc w:val="both"/>
        <w:rPr>
          <w:rFonts w:ascii="Times New Roman" w:hAnsi="Times New Roman"/>
          <w:sz w:val="26"/>
          <w:szCs w:val="26"/>
        </w:rPr>
      </w:pPr>
      <w:r w:rsidRPr="00BB27B8">
        <w:rPr>
          <w:rFonts w:ascii="Times New Roman" w:hAnsi="Times New Roman"/>
          <w:sz w:val="26"/>
          <w:szCs w:val="26"/>
        </w:rPr>
        <w:t xml:space="preserve">Hinzuweisen ist auf die am 16.12.2019 </w:t>
      </w:r>
      <w:r w:rsidR="00FA50FB" w:rsidRPr="00BB27B8">
        <w:rPr>
          <w:rFonts w:ascii="Times New Roman" w:hAnsi="Times New Roman"/>
          <w:sz w:val="26"/>
          <w:szCs w:val="26"/>
        </w:rPr>
        <w:t xml:space="preserve">in Kraft getretene und bis </w:t>
      </w:r>
      <w:r w:rsidR="00732A9C">
        <w:rPr>
          <w:rFonts w:ascii="Times New Roman" w:hAnsi="Times New Roman"/>
          <w:sz w:val="26"/>
          <w:szCs w:val="26"/>
        </w:rPr>
        <w:t xml:space="preserve">Ende </w:t>
      </w:r>
      <w:r w:rsidR="00FA50FB" w:rsidRPr="00BB27B8">
        <w:rPr>
          <w:rFonts w:ascii="Times New Roman" w:hAnsi="Times New Roman"/>
          <w:sz w:val="26"/>
          <w:szCs w:val="26"/>
        </w:rPr>
        <w:t>2021 umzusetzende Whistleblower-Richtlinie</w:t>
      </w:r>
      <w:r w:rsidR="000550C1">
        <w:rPr>
          <w:rStyle w:val="Funotenzeichen"/>
          <w:szCs w:val="26"/>
        </w:rPr>
        <w:footnoteReference w:id="4"/>
      </w:r>
      <w:r w:rsidR="00FA50FB" w:rsidRPr="00BB27B8">
        <w:rPr>
          <w:rFonts w:ascii="Times New Roman" w:hAnsi="Times New Roman"/>
          <w:sz w:val="26"/>
          <w:szCs w:val="26"/>
        </w:rPr>
        <w:t xml:space="preserve"> </w:t>
      </w:r>
      <w:r w:rsidR="00732A9C">
        <w:rPr>
          <w:rFonts w:ascii="Times New Roman" w:hAnsi="Times New Roman"/>
          <w:sz w:val="26"/>
          <w:szCs w:val="26"/>
        </w:rPr>
        <w:t>der EU, die den schützt, d</w:t>
      </w:r>
      <w:r w:rsidR="0009290A" w:rsidRPr="00BB27B8">
        <w:rPr>
          <w:rFonts w:ascii="Times New Roman" w:hAnsi="Times New Roman"/>
          <w:sz w:val="26"/>
          <w:szCs w:val="26"/>
        </w:rPr>
        <w:t>er hinreichenden Grund zu der Annahme hat, dass die Information über Ve</w:t>
      </w:r>
      <w:r w:rsidR="0009290A" w:rsidRPr="00BB27B8">
        <w:rPr>
          <w:rFonts w:ascii="Times New Roman" w:hAnsi="Times New Roman"/>
          <w:sz w:val="26"/>
          <w:szCs w:val="26"/>
        </w:rPr>
        <w:t>r</w:t>
      </w:r>
      <w:r w:rsidR="0009290A" w:rsidRPr="00BB27B8">
        <w:rPr>
          <w:rFonts w:ascii="Times New Roman" w:hAnsi="Times New Roman"/>
          <w:sz w:val="26"/>
          <w:szCs w:val="26"/>
        </w:rPr>
        <w:t>stöße zum Zeitpunkt der Meldung der Wahrheit entspricht und der Anwe</w:t>
      </w:r>
      <w:r w:rsidR="0009290A" w:rsidRPr="00BB27B8">
        <w:rPr>
          <w:rFonts w:ascii="Times New Roman" w:hAnsi="Times New Roman"/>
          <w:sz w:val="26"/>
          <w:szCs w:val="26"/>
        </w:rPr>
        <w:t>n</w:t>
      </w:r>
      <w:r w:rsidR="0009290A" w:rsidRPr="00BB27B8">
        <w:rPr>
          <w:rFonts w:ascii="Times New Roman" w:hAnsi="Times New Roman"/>
          <w:sz w:val="26"/>
          <w:szCs w:val="26"/>
        </w:rPr>
        <w:t xml:space="preserve">dungsbereich der Richtlinie erfüllt ist, Art. 6 Abs. 1 lit. a der Richtlinie. </w:t>
      </w:r>
    </w:p>
    <w:p w:rsidR="0009290A" w:rsidRPr="00BB27B8" w:rsidRDefault="00491325" w:rsidP="00BB27B8">
      <w:pPr>
        <w:pStyle w:val="-OlWIRberschrift3-"/>
        <w:spacing w:line="320" w:lineRule="exact"/>
        <w:jc w:val="both"/>
        <w:rPr>
          <w:rFonts w:ascii="Times New Roman" w:hAnsi="Times New Roman"/>
          <w:sz w:val="26"/>
          <w:szCs w:val="26"/>
        </w:rPr>
      </w:pPr>
      <w:r>
        <w:rPr>
          <w:rFonts w:ascii="Times New Roman" w:hAnsi="Times New Roman"/>
          <w:sz w:val="26"/>
          <w:szCs w:val="26"/>
        </w:rPr>
        <w:t>Das Erfordernis von</w:t>
      </w:r>
      <w:r w:rsidR="0009290A" w:rsidRPr="00BB27B8">
        <w:rPr>
          <w:rFonts w:ascii="Times New Roman" w:hAnsi="Times New Roman"/>
          <w:sz w:val="26"/>
          <w:szCs w:val="26"/>
        </w:rPr>
        <w:t xml:space="preserve"> im Einzelfall angemessenen Schutzvorkehrungen zum Schutz des Geschäftsgeheimnisses, § 2 Nr. 1 lit. b GeschGehG, hat auch e</w:t>
      </w:r>
      <w:r w:rsidR="0009290A" w:rsidRPr="00BB27B8">
        <w:rPr>
          <w:rFonts w:ascii="Times New Roman" w:hAnsi="Times New Roman"/>
          <w:sz w:val="26"/>
          <w:szCs w:val="26"/>
        </w:rPr>
        <w:t>i</w:t>
      </w:r>
      <w:r w:rsidR="0009290A" w:rsidRPr="00BB27B8">
        <w:rPr>
          <w:rFonts w:ascii="Times New Roman" w:hAnsi="Times New Roman"/>
          <w:sz w:val="26"/>
          <w:szCs w:val="26"/>
        </w:rPr>
        <w:t xml:space="preserve">ne Warnfunktion für den Geheimnisinhaber, dass er aktiv werden muss, um einen gesetzlichen Schutz </w:t>
      </w:r>
      <w:r>
        <w:rPr>
          <w:rFonts w:ascii="Times New Roman" w:hAnsi="Times New Roman"/>
          <w:sz w:val="26"/>
          <w:szCs w:val="26"/>
        </w:rPr>
        <w:t>s</w:t>
      </w:r>
      <w:r w:rsidR="0009290A" w:rsidRPr="00BB27B8">
        <w:rPr>
          <w:rFonts w:ascii="Times New Roman" w:hAnsi="Times New Roman"/>
          <w:sz w:val="26"/>
          <w:szCs w:val="26"/>
        </w:rPr>
        <w:t xml:space="preserve">eines Geschäftsgeheimnisses zu erzielen. </w:t>
      </w:r>
    </w:p>
    <w:p w:rsidR="00F36ED4" w:rsidRDefault="008F166E" w:rsidP="00BB27B8">
      <w:pPr>
        <w:pStyle w:val="-OlWIRberschrift3-"/>
        <w:spacing w:line="320" w:lineRule="exact"/>
        <w:jc w:val="both"/>
        <w:rPr>
          <w:rFonts w:ascii="Times New Roman" w:hAnsi="Times New Roman"/>
          <w:sz w:val="26"/>
          <w:szCs w:val="26"/>
        </w:rPr>
      </w:pPr>
      <w:r w:rsidRPr="00BB27B8">
        <w:rPr>
          <w:rFonts w:ascii="Times New Roman" w:hAnsi="Times New Roman"/>
          <w:sz w:val="26"/>
          <w:szCs w:val="26"/>
        </w:rPr>
        <w:t xml:space="preserve">Die Beweislast für die Verletzung eines Geschäftsgeheimnisses trägt der Geschäftsgeheimnisinhaber, allerdings mit </w:t>
      </w:r>
      <w:r w:rsidR="00F36ED4">
        <w:rPr>
          <w:rFonts w:ascii="Times New Roman" w:hAnsi="Times New Roman"/>
          <w:sz w:val="26"/>
          <w:szCs w:val="26"/>
        </w:rPr>
        <w:t>der Einschränkung</w:t>
      </w:r>
      <w:r w:rsidRPr="00BB27B8">
        <w:rPr>
          <w:rFonts w:ascii="Times New Roman" w:hAnsi="Times New Roman"/>
          <w:sz w:val="26"/>
          <w:szCs w:val="26"/>
        </w:rPr>
        <w:t>: Der Verlet</w:t>
      </w:r>
      <w:r w:rsidR="00F36ED4">
        <w:rPr>
          <w:rFonts w:ascii="Times New Roman" w:hAnsi="Times New Roman"/>
          <w:sz w:val="26"/>
          <w:szCs w:val="26"/>
        </w:rPr>
        <w:t>z-er</w:t>
      </w:r>
      <w:r w:rsidRPr="00BB27B8">
        <w:rPr>
          <w:rFonts w:ascii="Times New Roman" w:hAnsi="Times New Roman"/>
          <w:sz w:val="26"/>
          <w:szCs w:val="26"/>
        </w:rPr>
        <w:t xml:space="preserve"> trägt die Beweislast </w:t>
      </w:r>
      <w:r w:rsidR="00F36ED4">
        <w:rPr>
          <w:rFonts w:ascii="Times New Roman" w:hAnsi="Times New Roman"/>
          <w:sz w:val="26"/>
          <w:szCs w:val="26"/>
        </w:rPr>
        <w:t xml:space="preserve">für den Fall </w:t>
      </w:r>
      <w:r w:rsidRPr="00BB27B8">
        <w:rPr>
          <w:rFonts w:ascii="Times New Roman" w:hAnsi="Times New Roman"/>
          <w:sz w:val="26"/>
          <w:szCs w:val="26"/>
        </w:rPr>
        <w:t>eines unverhältnismäßig großen Nac</w:t>
      </w:r>
      <w:r w:rsidRPr="00BB27B8">
        <w:rPr>
          <w:rFonts w:ascii="Times New Roman" w:hAnsi="Times New Roman"/>
          <w:sz w:val="26"/>
          <w:szCs w:val="26"/>
        </w:rPr>
        <w:t>h</w:t>
      </w:r>
      <w:r w:rsidRPr="00BB27B8">
        <w:rPr>
          <w:rFonts w:ascii="Times New Roman" w:hAnsi="Times New Roman"/>
          <w:sz w:val="26"/>
          <w:szCs w:val="26"/>
        </w:rPr>
        <w:t>teils für</w:t>
      </w:r>
      <w:r w:rsidR="00F36ED4">
        <w:rPr>
          <w:rFonts w:ascii="Times New Roman" w:hAnsi="Times New Roman"/>
          <w:sz w:val="26"/>
          <w:szCs w:val="26"/>
        </w:rPr>
        <w:t xml:space="preserve"> den </w:t>
      </w:r>
      <w:proofErr w:type="spellStart"/>
      <w:r w:rsidR="00F36ED4">
        <w:rPr>
          <w:rFonts w:ascii="Times New Roman" w:hAnsi="Times New Roman"/>
          <w:sz w:val="26"/>
          <w:szCs w:val="26"/>
        </w:rPr>
        <w:t>Verletzer</w:t>
      </w:r>
      <w:proofErr w:type="spellEnd"/>
      <w:r w:rsidR="00F36ED4">
        <w:rPr>
          <w:rFonts w:ascii="Times New Roman" w:hAnsi="Times New Roman"/>
          <w:sz w:val="26"/>
          <w:szCs w:val="26"/>
        </w:rPr>
        <w:t xml:space="preserve"> bei Beseitigung und Unterlassung bzw. bei Vernic</w:t>
      </w:r>
      <w:r w:rsidR="00F36ED4">
        <w:rPr>
          <w:rFonts w:ascii="Times New Roman" w:hAnsi="Times New Roman"/>
          <w:sz w:val="26"/>
          <w:szCs w:val="26"/>
        </w:rPr>
        <w:t>h</w:t>
      </w:r>
      <w:r w:rsidR="00F36ED4">
        <w:rPr>
          <w:rFonts w:ascii="Times New Roman" w:hAnsi="Times New Roman"/>
          <w:sz w:val="26"/>
          <w:szCs w:val="26"/>
        </w:rPr>
        <w:t>tung und Herausgabe, also bei den Ansprüchen des Geheimnisinhabers nach §§ 6 und 7 GeschGehG</w:t>
      </w:r>
      <w:r w:rsidR="00105AE1" w:rsidRPr="00BB27B8">
        <w:rPr>
          <w:rFonts w:ascii="Times New Roman" w:hAnsi="Times New Roman"/>
          <w:sz w:val="26"/>
          <w:szCs w:val="26"/>
        </w:rPr>
        <w:t xml:space="preserve">, </w:t>
      </w:r>
      <w:r w:rsidR="00F36ED4">
        <w:rPr>
          <w:rFonts w:ascii="Times New Roman" w:hAnsi="Times New Roman"/>
          <w:sz w:val="26"/>
          <w:szCs w:val="26"/>
        </w:rPr>
        <w:t xml:space="preserve">vgl. </w:t>
      </w:r>
      <w:r w:rsidR="00105AE1" w:rsidRPr="00BB27B8">
        <w:rPr>
          <w:rFonts w:ascii="Times New Roman" w:hAnsi="Times New Roman"/>
          <w:sz w:val="26"/>
          <w:szCs w:val="26"/>
        </w:rPr>
        <w:t>§ 11 Abs. 1 GeschGehG</w:t>
      </w:r>
      <w:r w:rsidR="00F36ED4">
        <w:rPr>
          <w:rFonts w:ascii="Times New Roman" w:hAnsi="Times New Roman"/>
          <w:sz w:val="26"/>
          <w:szCs w:val="26"/>
        </w:rPr>
        <w:t>.</w:t>
      </w:r>
    </w:p>
    <w:p w:rsidR="008F166E" w:rsidRPr="00BB27B8" w:rsidRDefault="00F36ED4" w:rsidP="00BB27B8">
      <w:pPr>
        <w:pStyle w:val="-OlWIRberschrift3-"/>
        <w:spacing w:line="320" w:lineRule="exact"/>
        <w:jc w:val="both"/>
        <w:rPr>
          <w:rFonts w:ascii="Times New Roman" w:hAnsi="Times New Roman"/>
          <w:sz w:val="26"/>
          <w:szCs w:val="26"/>
        </w:rPr>
      </w:pPr>
      <w:r>
        <w:rPr>
          <w:rFonts w:ascii="Times New Roman" w:hAnsi="Times New Roman"/>
          <w:sz w:val="26"/>
          <w:szCs w:val="26"/>
        </w:rPr>
        <w:t>§ 14 GeschGehG setzt ein Missbrauchsverbot als Grenze für die Gelten</w:t>
      </w:r>
      <w:r>
        <w:rPr>
          <w:rFonts w:ascii="Times New Roman" w:hAnsi="Times New Roman"/>
          <w:sz w:val="26"/>
          <w:szCs w:val="26"/>
        </w:rPr>
        <w:t>d</w:t>
      </w:r>
      <w:r>
        <w:rPr>
          <w:rFonts w:ascii="Times New Roman" w:hAnsi="Times New Roman"/>
          <w:sz w:val="26"/>
          <w:szCs w:val="26"/>
        </w:rPr>
        <w:t>machung von Ansprüchen nach dem Geschäftsgeheimnisgesetzt durch den Geheimnisinhaber, dass die Geltendmachung von Ansprüchen nach diesem Gesetz für diesen Fall unzulässig macht.</w:t>
      </w:r>
      <w:r w:rsidR="00105AE1" w:rsidRPr="00BB27B8">
        <w:rPr>
          <w:rFonts w:ascii="Times New Roman" w:hAnsi="Times New Roman"/>
          <w:sz w:val="26"/>
          <w:szCs w:val="26"/>
        </w:rPr>
        <w:t xml:space="preserve"> </w:t>
      </w:r>
    </w:p>
    <w:p w:rsidR="008B629D" w:rsidRDefault="00732A9C" w:rsidP="00732A9C">
      <w:pPr>
        <w:pStyle w:val="-OlWIRberschrift1-"/>
        <w:numPr>
          <w:ilvl w:val="0"/>
          <w:numId w:val="0"/>
        </w:numPr>
        <w:ind w:left="680" w:hanging="680"/>
        <w:jc w:val="both"/>
      </w:pPr>
      <w:r>
        <w:t>1.2</w:t>
      </w:r>
      <w:r>
        <w:tab/>
      </w:r>
      <w:r w:rsidR="00BB27B8">
        <w:t xml:space="preserve">Anwendbarkeit </w:t>
      </w:r>
      <w:r w:rsidR="00286EBE">
        <w:t>des Rechts der Allgemeinen Geschäftsbedingungen</w:t>
      </w:r>
      <w:r>
        <w:t xml:space="preserve"> im BGB</w:t>
      </w:r>
      <w:r w:rsidR="00286EBE">
        <w:t>?</w:t>
      </w:r>
    </w:p>
    <w:p w:rsidR="00286EBE" w:rsidRDefault="00732A9C" w:rsidP="00732A9C">
      <w:pPr>
        <w:pStyle w:val="-OlWIRberschrift3-"/>
        <w:numPr>
          <w:ilvl w:val="0"/>
          <w:numId w:val="0"/>
        </w:numPr>
        <w:spacing w:line="320" w:lineRule="exact"/>
        <w:ind w:left="680" w:hanging="680"/>
        <w:jc w:val="both"/>
        <w:rPr>
          <w:rFonts w:ascii="Times New Roman" w:hAnsi="Times New Roman"/>
          <w:sz w:val="26"/>
          <w:szCs w:val="26"/>
        </w:rPr>
      </w:pPr>
      <w:r>
        <w:rPr>
          <w:rFonts w:ascii="Times New Roman" w:hAnsi="Times New Roman"/>
          <w:sz w:val="26"/>
          <w:szCs w:val="26"/>
        </w:rPr>
        <w:t>1.2.1</w:t>
      </w:r>
      <w:r>
        <w:rPr>
          <w:rFonts w:ascii="Times New Roman" w:hAnsi="Times New Roman"/>
          <w:sz w:val="26"/>
          <w:szCs w:val="26"/>
        </w:rPr>
        <w:tab/>
      </w:r>
      <w:r w:rsidR="00286EBE">
        <w:rPr>
          <w:rFonts w:ascii="Times New Roman" w:hAnsi="Times New Roman"/>
          <w:sz w:val="26"/>
          <w:szCs w:val="26"/>
        </w:rPr>
        <w:t>Nach § 307 Abs. 3 Satz 2 i. V. m. § 305 Abs. 1 Satz 3 BGB sind preis- und leistungsbezogene Elemente von einer Anwendung der gesetzlichen Reg</w:t>
      </w:r>
      <w:r w:rsidR="00286EBE">
        <w:rPr>
          <w:rFonts w:ascii="Times New Roman" w:hAnsi="Times New Roman"/>
          <w:sz w:val="26"/>
          <w:szCs w:val="26"/>
        </w:rPr>
        <w:t>e</w:t>
      </w:r>
      <w:r w:rsidR="00286EBE">
        <w:rPr>
          <w:rFonts w:ascii="Times New Roman" w:hAnsi="Times New Roman"/>
          <w:sz w:val="26"/>
          <w:szCs w:val="26"/>
        </w:rPr>
        <w:lastRenderedPageBreak/>
        <w:t>lungen zu Geschäftsbedingungen ausgenommen.</w:t>
      </w:r>
      <w:r w:rsidR="000550C1">
        <w:rPr>
          <w:rStyle w:val="Funotenzeichen"/>
          <w:szCs w:val="26"/>
        </w:rPr>
        <w:footnoteReference w:id="5"/>
      </w:r>
      <w:r w:rsidR="00286EBE">
        <w:rPr>
          <w:rFonts w:ascii="Times New Roman" w:hAnsi="Times New Roman"/>
          <w:sz w:val="26"/>
          <w:szCs w:val="26"/>
        </w:rPr>
        <w:t xml:space="preserve"> Deshalb sind das G</w:t>
      </w:r>
      <w:r w:rsidR="00286EBE">
        <w:rPr>
          <w:rFonts w:ascii="Times New Roman" w:hAnsi="Times New Roman"/>
          <w:sz w:val="26"/>
          <w:szCs w:val="26"/>
        </w:rPr>
        <w:t>e</w:t>
      </w:r>
      <w:r w:rsidR="00286EBE">
        <w:rPr>
          <w:rFonts w:ascii="Times New Roman" w:hAnsi="Times New Roman"/>
          <w:sz w:val="26"/>
          <w:szCs w:val="26"/>
        </w:rPr>
        <w:t xml:space="preserve">schäftsgeheimnis selbst und dessen Weitergabe </w:t>
      </w:r>
      <w:r w:rsidR="005F4C15">
        <w:rPr>
          <w:rFonts w:ascii="Times New Roman" w:hAnsi="Times New Roman"/>
          <w:sz w:val="26"/>
          <w:szCs w:val="26"/>
        </w:rPr>
        <w:t>als leistungsbezogene</w:t>
      </w:r>
      <w:r w:rsidR="00034212">
        <w:rPr>
          <w:rFonts w:ascii="Times New Roman" w:hAnsi="Times New Roman"/>
          <w:sz w:val="26"/>
          <w:szCs w:val="26"/>
        </w:rPr>
        <w:t xml:space="preserve"> El</w:t>
      </w:r>
      <w:r w:rsidR="00034212">
        <w:rPr>
          <w:rFonts w:ascii="Times New Roman" w:hAnsi="Times New Roman"/>
          <w:sz w:val="26"/>
          <w:szCs w:val="26"/>
        </w:rPr>
        <w:t>e</w:t>
      </w:r>
      <w:r w:rsidR="00034212">
        <w:rPr>
          <w:rFonts w:ascii="Times New Roman" w:hAnsi="Times New Roman"/>
          <w:sz w:val="26"/>
          <w:szCs w:val="26"/>
        </w:rPr>
        <w:t>ment</w:t>
      </w:r>
      <w:r w:rsidR="005F4C15">
        <w:rPr>
          <w:rFonts w:ascii="Times New Roman" w:hAnsi="Times New Roman"/>
          <w:sz w:val="26"/>
          <w:szCs w:val="26"/>
        </w:rPr>
        <w:t>e</w:t>
      </w:r>
      <w:r w:rsidR="00034212">
        <w:rPr>
          <w:rFonts w:ascii="Times New Roman" w:hAnsi="Times New Roman"/>
          <w:sz w:val="26"/>
          <w:szCs w:val="26"/>
        </w:rPr>
        <w:t xml:space="preserve"> nicht Gegenstand einer AGB-rechtlichen Inhaltskontrolle. Folge ist, dass eine vertragliche Erweiterung des Schutzes eines Ge</w:t>
      </w:r>
      <w:r w:rsidR="005F4C15">
        <w:rPr>
          <w:rFonts w:ascii="Times New Roman" w:hAnsi="Times New Roman"/>
          <w:sz w:val="26"/>
          <w:szCs w:val="26"/>
        </w:rPr>
        <w:t>schäftsge</w:t>
      </w:r>
      <w:r w:rsidR="00034212">
        <w:rPr>
          <w:rFonts w:ascii="Times New Roman" w:hAnsi="Times New Roman"/>
          <w:sz w:val="26"/>
          <w:szCs w:val="26"/>
        </w:rPr>
        <w:t>heimni</w:t>
      </w:r>
      <w:r w:rsidR="00034212">
        <w:rPr>
          <w:rFonts w:ascii="Times New Roman" w:hAnsi="Times New Roman"/>
          <w:sz w:val="26"/>
          <w:szCs w:val="26"/>
        </w:rPr>
        <w:t>s</w:t>
      </w:r>
      <w:r w:rsidR="00034212">
        <w:rPr>
          <w:rFonts w:ascii="Times New Roman" w:hAnsi="Times New Roman"/>
          <w:sz w:val="26"/>
          <w:szCs w:val="26"/>
        </w:rPr>
        <w:t>ses in ei</w:t>
      </w:r>
      <w:r w:rsidR="005F4C15">
        <w:rPr>
          <w:rFonts w:ascii="Times New Roman" w:hAnsi="Times New Roman"/>
          <w:sz w:val="26"/>
          <w:szCs w:val="26"/>
        </w:rPr>
        <w:t>ner Vertraulichkeits</w:t>
      </w:r>
      <w:r w:rsidR="00034212">
        <w:rPr>
          <w:rFonts w:ascii="Times New Roman" w:hAnsi="Times New Roman"/>
          <w:sz w:val="26"/>
          <w:szCs w:val="26"/>
        </w:rPr>
        <w:t>vereinbarung möglich und von einer Inhalt</w:t>
      </w:r>
      <w:r w:rsidR="00034212">
        <w:rPr>
          <w:rFonts w:ascii="Times New Roman" w:hAnsi="Times New Roman"/>
          <w:sz w:val="26"/>
          <w:szCs w:val="26"/>
        </w:rPr>
        <w:t>s</w:t>
      </w:r>
      <w:r w:rsidR="00034212">
        <w:rPr>
          <w:rFonts w:ascii="Times New Roman" w:hAnsi="Times New Roman"/>
          <w:sz w:val="26"/>
          <w:szCs w:val="26"/>
        </w:rPr>
        <w:t xml:space="preserve">kontrolle ausgenommen ist. </w:t>
      </w:r>
    </w:p>
    <w:p w:rsidR="004A297F" w:rsidRPr="004A297F" w:rsidRDefault="00732A9C" w:rsidP="004A297F">
      <w:pPr>
        <w:pStyle w:val="-OlWIRberschrift3-"/>
        <w:numPr>
          <w:ilvl w:val="0"/>
          <w:numId w:val="0"/>
        </w:numPr>
        <w:spacing w:line="320" w:lineRule="exact"/>
        <w:ind w:left="680" w:hanging="680"/>
        <w:jc w:val="both"/>
        <w:rPr>
          <w:rFonts w:ascii="Times New Roman" w:hAnsi="Times New Roman"/>
          <w:sz w:val="26"/>
          <w:szCs w:val="26"/>
        </w:rPr>
      </w:pPr>
      <w:r>
        <w:rPr>
          <w:rFonts w:ascii="Times New Roman" w:hAnsi="Times New Roman"/>
          <w:sz w:val="26"/>
          <w:szCs w:val="26"/>
        </w:rPr>
        <w:t>1.2.2</w:t>
      </w:r>
      <w:r>
        <w:rPr>
          <w:rFonts w:ascii="Times New Roman" w:hAnsi="Times New Roman"/>
          <w:sz w:val="26"/>
          <w:szCs w:val="26"/>
        </w:rPr>
        <w:tab/>
      </w:r>
      <w:r w:rsidR="00034212" w:rsidRPr="005A5531">
        <w:rPr>
          <w:rFonts w:ascii="Times New Roman" w:hAnsi="Times New Roman"/>
          <w:sz w:val="26"/>
          <w:szCs w:val="26"/>
        </w:rPr>
        <w:t xml:space="preserve">Für eine Prüfung, ob </w:t>
      </w:r>
      <w:r>
        <w:rPr>
          <w:rFonts w:ascii="Times New Roman" w:hAnsi="Times New Roman"/>
          <w:sz w:val="26"/>
          <w:szCs w:val="26"/>
        </w:rPr>
        <w:t xml:space="preserve">Regelungen in </w:t>
      </w:r>
      <w:r w:rsidR="00034212" w:rsidRPr="005A5531">
        <w:rPr>
          <w:rFonts w:ascii="Times New Roman" w:hAnsi="Times New Roman"/>
          <w:sz w:val="26"/>
          <w:szCs w:val="26"/>
        </w:rPr>
        <w:t>eine</w:t>
      </w:r>
      <w:r>
        <w:rPr>
          <w:rFonts w:ascii="Times New Roman" w:hAnsi="Times New Roman"/>
          <w:sz w:val="26"/>
          <w:szCs w:val="26"/>
        </w:rPr>
        <w:t>r</w:t>
      </w:r>
      <w:r w:rsidR="00034212" w:rsidRPr="005A5531">
        <w:rPr>
          <w:rFonts w:ascii="Times New Roman" w:hAnsi="Times New Roman"/>
          <w:sz w:val="26"/>
          <w:szCs w:val="26"/>
        </w:rPr>
        <w:t xml:space="preserve"> Geheimhaltungsvereinbarung eine „unangemessene Benachteilig</w:t>
      </w:r>
      <w:r w:rsidR="00491325">
        <w:rPr>
          <w:rFonts w:ascii="Times New Roman" w:hAnsi="Times New Roman"/>
          <w:sz w:val="26"/>
          <w:szCs w:val="26"/>
        </w:rPr>
        <w:t xml:space="preserve">ung“ im Sinne von § 307 Abs. 2 </w:t>
      </w:r>
      <w:r w:rsidR="00034212" w:rsidRPr="005A5531">
        <w:rPr>
          <w:rFonts w:ascii="Times New Roman" w:hAnsi="Times New Roman"/>
          <w:sz w:val="26"/>
          <w:szCs w:val="26"/>
        </w:rPr>
        <w:t>BGB dar</w:t>
      </w:r>
      <w:r>
        <w:rPr>
          <w:rFonts w:ascii="Times New Roman" w:hAnsi="Times New Roman"/>
          <w:sz w:val="26"/>
          <w:szCs w:val="26"/>
        </w:rPr>
        <w:t>stell</w:t>
      </w:r>
      <w:r w:rsidR="005F4C15">
        <w:rPr>
          <w:rFonts w:ascii="Times New Roman" w:hAnsi="Times New Roman"/>
          <w:sz w:val="26"/>
          <w:szCs w:val="26"/>
        </w:rPr>
        <w:t>en</w:t>
      </w:r>
      <w:r w:rsidR="00034212" w:rsidRPr="005A5531">
        <w:rPr>
          <w:rFonts w:ascii="Times New Roman" w:hAnsi="Times New Roman"/>
          <w:sz w:val="26"/>
          <w:szCs w:val="26"/>
        </w:rPr>
        <w:t xml:space="preserve">, </w:t>
      </w:r>
      <w:r>
        <w:rPr>
          <w:rFonts w:ascii="Times New Roman" w:hAnsi="Times New Roman"/>
          <w:sz w:val="26"/>
          <w:szCs w:val="26"/>
        </w:rPr>
        <w:t xml:space="preserve">kann </w:t>
      </w:r>
      <w:r w:rsidR="00034212" w:rsidRPr="005A5531">
        <w:rPr>
          <w:rFonts w:ascii="Times New Roman" w:hAnsi="Times New Roman"/>
          <w:sz w:val="26"/>
          <w:szCs w:val="26"/>
        </w:rPr>
        <w:t>Anknüpfungspunkt der „Grundgedanke der gesetzlichen Regelung</w:t>
      </w:r>
      <w:r>
        <w:rPr>
          <w:rFonts w:ascii="Times New Roman" w:hAnsi="Times New Roman"/>
          <w:sz w:val="26"/>
          <w:szCs w:val="26"/>
        </w:rPr>
        <w:t>“</w:t>
      </w:r>
      <w:r w:rsidR="00034212" w:rsidRPr="005A5531">
        <w:rPr>
          <w:rFonts w:ascii="Times New Roman" w:hAnsi="Times New Roman"/>
          <w:sz w:val="26"/>
          <w:szCs w:val="26"/>
        </w:rPr>
        <w:t xml:space="preserve"> sein, der nunmehr im GeschGehG ausformuliert ist. Dies betrifft insbesondere ein vertraglich gewolltes Verbot des gemäß GeschGehG e</w:t>
      </w:r>
      <w:r w:rsidR="00034212" w:rsidRPr="005A5531">
        <w:rPr>
          <w:rFonts w:ascii="Times New Roman" w:hAnsi="Times New Roman"/>
          <w:sz w:val="26"/>
          <w:szCs w:val="26"/>
        </w:rPr>
        <w:t>r</w:t>
      </w:r>
      <w:r w:rsidR="00034212" w:rsidRPr="005A5531">
        <w:rPr>
          <w:rFonts w:ascii="Times New Roman" w:hAnsi="Times New Roman"/>
          <w:sz w:val="26"/>
          <w:szCs w:val="26"/>
        </w:rPr>
        <w:t xml:space="preserve">laubten Reverse Engineering in § 3 Abs. 1 Nr. 2, Abs. 2 </w:t>
      </w:r>
      <w:proofErr w:type="spellStart"/>
      <w:r w:rsidR="00034212" w:rsidRPr="005A5531">
        <w:rPr>
          <w:rFonts w:ascii="Times New Roman" w:hAnsi="Times New Roman"/>
          <w:sz w:val="26"/>
          <w:szCs w:val="26"/>
        </w:rPr>
        <w:t>GeschGehG</w:t>
      </w:r>
      <w:proofErr w:type="spellEnd"/>
      <w:r w:rsidR="00034212" w:rsidRPr="005A5531">
        <w:rPr>
          <w:rFonts w:ascii="Times New Roman" w:hAnsi="Times New Roman"/>
          <w:sz w:val="26"/>
          <w:szCs w:val="26"/>
        </w:rPr>
        <w:t>.“</w:t>
      </w:r>
    </w:p>
    <w:p w:rsidR="005A5531" w:rsidRPr="0099353E" w:rsidRDefault="005A5531" w:rsidP="005A5531">
      <w:pPr>
        <w:pStyle w:val="-OlWIRStandardtext-"/>
        <w:rPr>
          <w:sz w:val="32"/>
          <w:szCs w:val="32"/>
        </w:rPr>
      </w:pPr>
      <w:r w:rsidRPr="0099353E">
        <w:rPr>
          <w:sz w:val="32"/>
          <w:szCs w:val="32"/>
        </w:rPr>
        <w:t>1.3</w:t>
      </w:r>
      <w:r w:rsidRPr="0099353E">
        <w:rPr>
          <w:sz w:val="32"/>
          <w:szCs w:val="32"/>
        </w:rPr>
        <w:tab/>
        <w:t>Erlaubte Handlungen bei Geschäftsgeheimnissen Dritter</w:t>
      </w:r>
    </w:p>
    <w:p w:rsidR="0098406D" w:rsidRPr="0099353E" w:rsidRDefault="0099353E" w:rsidP="0099353E">
      <w:pPr>
        <w:pStyle w:val="-OlWIRStandardtextEinzug-"/>
        <w:ind w:firstLine="709"/>
        <w:rPr>
          <w:sz w:val="32"/>
          <w:szCs w:val="32"/>
        </w:rPr>
      </w:pPr>
      <w:r>
        <w:rPr>
          <w:sz w:val="32"/>
          <w:szCs w:val="32"/>
        </w:rPr>
        <w:t>n</w:t>
      </w:r>
      <w:r w:rsidR="0098406D" w:rsidRPr="0099353E">
        <w:rPr>
          <w:sz w:val="32"/>
          <w:szCs w:val="32"/>
        </w:rPr>
        <w:t xml:space="preserve">ach § 3 GeschGehG </w:t>
      </w:r>
    </w:p>
    <w:p w:rsidR="005A5531" w:rsidRDefault="0098406D" w:rsidP="0099353E">
      <w:pPr>
        <w:pStyle w:val="-OlWIRStandardtextEinzug-"/>
        <w:ind w:left="705" w:hanging="705"/>
      </w:pPr>
      <w:r>
        <w:t>1.3.1</w:t>
      </w:r>
      <w:r>
        <w:tab/>
        <w:t>Soweit eine „Information“ im Sinne des GeschGehG auf eine</w:t>
      </w:r>
      <w:r w:rsidR="0099353E">
        <w:t>r</w:t>
      </w:r>
      <w:r>
        <w:t xml:space="preserve"> eigenständ</w:t>
      </w:r>
      <w:r>
        <w:t>i</w:t>
      </w:r>
      <w:r>
        <w:t xml:space="preserve">ge Entwicklung oder Schöpfung unabhängig von einem </w:t>
      </w:r>
      <w:r w:rsidRPr="0098406D">
        <w:t>Geschäftsgehei</w:t>
      </w:r>
      <w:r w:rsidRPr="0098406D">
        <w:t>m</w:t>
      </w:r>
      <w:r w:rsidRPr="0098406D">
        <w:t>nis</w:t>
      </w:r>
      <w:r>
        <w:t xml:space="preserve"> eines Dritten beruht, liegt keine Verletzungshandlung vor. </w:t>
      </w:r>
    </w:p>
    <w:p w:rsidR="0098406D" w:rsidRDefault="0098406D" w:rsidP="0099353E">
      <w:pPr>
        <w:pStyle w:val="-OlWIRStandardtextEinzug-"/>
        <w:ind w:left="705" w:hanging="705"/>
      </w:pPr>
      <w:r>
        <w:t>1.3.2</w:t>
      </w:r>
      <w:r>
        <w:tab/>
        <w:t xml:space="preserve">Ein Reverse Engineering </w:t>
      </w:r>
      <w:r w:rsidR="0099353E">
        <w:t xml:space="preserve">des Inhalts eines Geschäftsgeheimnisses </w:t>
      </w:r>
      <w:r>
        <w:t xml:space="preserve">ist </w:t>
      </w:r>
      <w:r w:rsidR="0099353E">
        <w:t>g</w:t>
      </w:r>
      <w:r w:rsidR="0099353E">
        <w:t>e</w:t>
      </w:r>
      <w:r w:rsidR="0099353E">
        <w:t xml:space="preserve">setzlich </w:t>
      </w:r>
      <w:r>
        <w:t xml:space="preserve">erlaubt, soweit kein Verstoß gegen eine vertragliche Verpflichtung zur Beschränkung der Nutzung vorliegt. Eine solche Beschränkung der Nutzung könnte Gegenstand von Lizenzbedingungen </w:t>
      </w:r>
      <w:r w:rsidR="0099353E">
        <w:t>und/</w:t>
      </w:r>
      <w:r>
        <w:t>oder einer G</w:t>
      </w:r>
      <w:r>
        <w:t>e</w:t>
      </w:r>
      <w:r>
        <w:t xml:space="preserve">heimhaltungsvereinbarung sein. Eine Abbedingung dieses Rechts </w:t>
      </w:r>
      <w:r w:rsidR="0099353E">
        <w:t xml:space="preserve">kann </w:t>
      </w:r>
      <w:r>
        <w:t>deshalb eine kartell- und AGB-rechtliche Prüfung</w:t>
      </w:r>
      <w:r w:rsidR="0099353E">
        <w:t xml:space="preserve"> erfordern</w:t>
      </w:r>
      <w:r>
        <w:t xml:space="preserve">. </w:t>
      </w:r>
    </w:p>
    <w:p w:rsidR="0098406D" w:rsidRDefault="0098406D" w:rsidP="0099353E">
      <w:pPr>
        <w:pStyle w:val="-OlWIRStandardtextEinzug-"/>
        <w:ind w:left="705" w:hanging="705"/>
      </w:pPr>
      <w:r>
        <w:t>1.3.4</w:t>
      </w:r>
      <w:r>
        <w:tab/>
      </w:r>
      <w:r w:rsidRPr="0098406D">
        <w:t>Geschäftsgeheimnis</w:t>
      </w:r>
      <w:r>
        <w:t xml:space="preserve"> ist nicht, was öffentlich vorbekannt oder beim Em</w:t>
      </w:r>
      <w:r>
        <w:t>p</w:t>
      </w:r>
      <w:r>
        <w:t xml:space="preserve">fänger </w:t>
      </w:r>
      <w:r w:rsidR="0099353E">
        <w:t xml:space="preserve">nachweisbar </w:t>
      </w:r>
      <w:r>
        <w:t xml:space="preserve">bereits bekannt war. </w:t>
      </w:r>
    </w:p>
    <w:p w:rsidR="0098406D" w:rsidRDefault="0098406D" w:rsidP="0099353E">
      <w:pPr>
        <w:pStyle w:val="-OlWIRStandardtextEinzug-"/>
        <w:ind w:left="705" w:hanging="705"/>
      </w:pPr>
      <w:r>
        <w:t>3.1.4</w:t>
      </w:r>
      <w:r>
        <w:tab/>
        <w:t xml:space="preserve">Soweit eine Weitergabe im Rahmen </w:t>
      </w:r>
      <w:r w:rsidR="0099353E">
        <w:t xml:space="preserve">einer Wahrnehmung </w:t>
      </w:r>
      <w:r>
        <w:t>von Arbeitne</w:t>
      </w:r>
      <w:r>
        <w:t>h</w:t>
      </w:r>
      <w:r>
        <w:t>merrechten, zum Beispiel anlässlich der Mitbestimmung oder Kommunik</w:t>
      </w:r>
      <w:r>
        <w:t>a</w:t>
      </w:r>
      <w:r>
        <w:t xml:space="preserve">tion mit dem Betriebsrat erfolgt, können Sonderregelungen gelten. </w:t>
      </w:r>
    </w:p>
    <w:p w:rsidR="0098406D" w:rsidRDefault="0098406D" w:rsidP="0099353E">
      <w:pPr>
        <w:pStyle w:val="-OlWIRStandardtextEinzug-"/>
        <w:ind w:left="705" w:hanging="705"/>
      </w:pPr>
      <w:r>
        <w:t>1.3.5</w:t>
      </w:r>
      <w:r>
        <w:tab/>
        <w:t xml:space="preserve">Keine Verletzung liegt ebenfalls vor, wenn eine gesetzliche Regelung oder ein Rechtsgeschäft eine Nutzung erlaubt. </w:t>
      </w:r>
    </w:p>
    <w:p w:rsidR="0098406D" w:rsidRPr="0099353E" w:rsidRDefault="0098406D" w:rsidP="0099353E">
      <w:pPr>
        <w:pStyle w:val="-OlWIRStandardtextEinzug-"/>
        <w:ind w:firstLine="0"/>
        <w:rPr>
          <w:sz w:val="32"/>
          <w:szCs w:val="32"/>
        </w:rPr>
      </w:pPr>
      <w:r w:rsidRPr="0099353E">
        <w:rPr>
          <w:sz w:val="32"/>
          <w:szCs w:val="32"/>
        </w:rPr>
        <w:t>1.4</w:t>
      </w:r>
      <w:r w:rsidRPr="0099353E">
        <w:rPr>
          <w:sz w:val="32"/>
          <w:szCs w:val="32"/>
        </w:rPr>
        <w:tab/>
        <w:t xml:space="preserve">Handlungsverbote gemäß § 4 GeschGehG </w:t>
      </w:r>
    </w:p>
    <w:p w:rsidR="0098406D" w:rsidRDefault="0098406D" w:rsidP="0099353E">
      <w:pPr>
        <w:pStyle w:val="-OlWIRStandardtextEinzug-"/>
        <w:ind w:left="705" w:hanging="705"/>
      </w:pPr>
      <w:r>
        <w:t>1.4.1</w:t>
      </w:r>
      <w:r>
        <w:tab/>
      </w:r>
      <w:r w:rsidR="0099353E" w:rsidRPr="003165DE">
        <w:t>Geschäftsgeheimnis</w:t>
      </w:r>
      <w:r w:rsidR="0099353E">
        <w:t>se dürfen n</w:t>
      </w:r>
      <w:r w:rsidR="003165DE">
        <w:t>icht durch einen unbefugten Zugang zu oder durch deren unbefugte Aneignung</w:t>
      </w:r>
      <w:r w:rsidR="0099353E" w:rsidRPr="0099353E">
        <w:t xml:space="preserve"> </w:t>
      </w:r>
      <w:r w:rsidR="0099353E">
        <w:t>erlangt werden</w:t>
      </w:r>
      <w:r w:rsidR="003165DE">
        <w:t xml:space="preserve"> oder durch ein Verhalten des Empfängers, das </w:t>
      </w:r>
      <w:r w:rsidR="0099353E">
        <w:t>„</w:t>
      </w:r>
      <w:r w:rsidR="003165DE">
        <w:t>gegen Treu und Glauben unter Berücksichtigung der anständigen Marktgepflogenheiten</w:t>
      </w:r>
      <w:r w:rsidR="0099353E">
        <w:t>“</w:t>
      </w:r>
      <w:r w:rsidR="003165DE">
        <w:t xml:space="preserve"> verstößt. </w:t>
      </w:r>
      <w:r w:rsidR="003A4805">
        <w:t>Hinweise auf das, was Ve</w:t>
      </w:r>
      <w:r w:rsidR="003A4805">
        <w:t>r</w:t>
      </w:r>
      <w:r w:rsidR="003A4805">
        <w:t>stöße gegen „anständige Marktgepflogenheiten“ sind, gibt die EU G</w:t>
      </w:r>
      <w:r w:rsidR="003A4805">
        <w:t>e</w:t>
      </w:r>
      <w:r w:rsidR="003A4805">
        <w:t>schäftsgeheimnis-Richtlinie selbst in Erwägungsgrund 17, wo Verhalten</w:t>
      </w:r>
      <w:r w:rsidR="003A4805">
        <w:t>s</w:t>
      </w:r>
      <w:r w:rsidR="003A4805">
        <w:lastRenderedPageBreak/>
        <w:t>weisen wie „Produktpiraterie“ und „sklavische Nachahmung“ genannt we</w:t>
      </w:r>
      <w:r w:rsidR="003A4805">
        <w:t>r</w:t>
      </w:r>
      <w:r w:rsidR="003A4805">
        <w:t>den.</w:t>
      </w:r>
      <w:r w:rsidR="001375FA">
        <w:rPr>
          <w:rStyle w:val="Funotenzeichen"/>
        </w:rPr>
        <w:footnoteReference w:id="6"/>
      </w:r>
    </w:p>
    <w:p w:rsidR="006C762A" w:rsidRDefault="006C762A" w:rsidP="0099353E">
      <w:pPr>
        <w:pStyle w:val="-OlWIRStandardtextEinzug-"/>
        <w:ind w:left="705" w:hanging="705"/>
      </w:pPr>
      <w:r>
        <w:t>1.4.2</w:t>
      </w:r>
      <w:r>
        <w:tab/>
        <w:t xml:space="preserve">Nicht genutzt oder offengelegt </w:t>
      </w:r>
      <w:r w:rsidR="0099353E">
        <w:t xml:space="preserve">werden </w:t>
      </w:r>
      <w:r>
        <w:t xml:space="preserve">dürfen </w:t>
      </w:r>
      <w:r w:rsidRPr="006C762A">
        <w:t>Geschäftsgeheimnis</w:t>
      </w:r>
      <w:r>
        <w:t>se, s</w:t>
      </w:r>
      <w:r>
        <w:t>o</w:t>
      </w:r>
      <w:r>
        <w:t xml:space="preserve">weit sie durch einen unbefugten Zugang bzw. Aneignung erlangt wurden oder soweit ein Verstoß gegen vertragliche Pflichten zur Beschränkung der Nutzung vorliegt (zum Beispiel in einer Vertraulichkeitsvereinbarung) oder ein Verstoß gegen eine vertragliche Geheimhaltungsverpflichtung besteht. </w:t>
      </w:r>
    </w:p>
    <w:p w:rsidR="006C762A" w:rsidRDefault="006C762A" w:rsidP="0099353E">
      <w:pPr>
        <w:pStyle w:val="-OlWIRStandardtextEinzug-"/>
        <w:ind w:left="705" w:hanging="705"/>
      </w:pPr>
      <w:r>
        <w:t>1.4.3</w:t>
      </w:r>
      <w:r>
        <w:tab/>
        <w:t xml:space="preserve">Ebenfalls darf derjenige </w:t>
      </w:r>
      <w:r w:rsidR="002F0642">
        <w:t xml:space="preserve">das Geschäftsgeheimnis eines Dritten </w:t>
      </w:r>
      <w:r>
        <w:t xml:space="preserve">nicht nutzen, der </w:t>
      </w:r>
      <w:r w:rsidR="00B543FD">
        <w:t xml:space="preserve">von der Verletzung des </w:t>
      </w:r>
      <w:r w:rsidR="00B543FD" w:rsidRPr="00B543FD">
        <w:t>Geschäftsgeheimnis</w:t>
      </w:r>
      <w:r w:rsidR="00B543FD">
        <w:t xml:space="preserve">ses </w:t>
      </w:r>
      <w:r w:rsidR="002F0642">
        <w:t xml:space="preserve">des Dritten </w:t>
      </w:r>
      <w:r w:rsidR="00B543FD">
        <w:t>Kenntnis hat, eben</w:t>
      </w:r>
      <w:r w:rsidR="002F0642">
        <w:t>so wie derjenige</w:t>
      </w:r>
      <w:r w:rsidR="00B543FD">
        <w:t xml:space="preserve"> dies nicht offenlegen darf (Grundsatz: Der Hehler ist so schlimm wie der Stehler). </w:t>
      </w:r>
    </w:p>
    <w:p w:rsidR="00B543FD" w:rsidRPr="002F0642" w:rsidRDefault="00B543FD" w:rsidP="005F4C15">
      <w:pPr>
        <w:pStyle w:val="-OlWIRStandardtextEinzug-"/>
        <w:ind w:left="705" w:hanging="705"/>
        <w:rPr>
          <w:sz w:val="32"/>
          <w:szCs w:val="32"/>
        </w:rPr>
      </w:pPr>
      <w:r w:rsidRPr="002F0642">
        <w:rPr>
          <w:sz w:val="32"/>
          <w:szCs w:val="32"/>
        </w:rPr>
        <w:t>1.5</w:t>
      </w:r>
      <w:r w:rsidRPr="002F0642">
        <w:rPr>
          <w:sz w:val="32"/>
          <w:szCs w:val="32"/>
        </w:rPr>
        <w:tab/>
        <w:t>Ausnahmen vom Geschäftsgeheimnisschutz nach § 5 G</w:t>
      </w:r>
      <w:r w:rsidRPr="002F0642">
        <w:rPr>
          <w:sz w:val="32"/>
          <w:szCs w:val="32"/>
        </w:rPr>
        <w:t>e</w:t>
      </w:r>
      <w:r w:rsidRPr="002F0642">
        <w:rPr>
          <w:sz w:val="32"/>
          <w:szCs w:val="32"/>
        </w:rPr>
        <w:t xml:space="preserve">schGehG </w:t>
      </w:r>
    </w:p>
    <w:p w:rsidR="00B543FD" w:rsidRDefault="00B543FD" w:rsidP="004A297F">
      <w:pPr>
        <w:pStyle w:val="-OlWIRStandardtextEinzug-"/>
        <w:ind w:firstLine="0"/>
      </w:pPr>
      <w:r>
        <w:t xml:space="preserve">Eine Erlangung, Nutzung oder Offenlegung eines </w:t>
      </w:r>
      <w:r w:rsidRPr="00B543FD">
        <w:t>Geschäftsgeheimnis</w:t>
      </w:r>
      <w:r>
        <w:t xml:space="preserve">ses fällt nicht unter die Handlungsverbote nach § 4 GeschGehG, wenn dies </w:t>
      </w:r>
    </w:p>
    <w:p w:rsidR="00B543FD" w:rsidRDefault="00B543FD" w:rsidP="007B1D15">
      <w:pPr>
        <w:pStyle w:val="-OlWIRStandardtextEinzug-"/>
        <w:ind w:left="705" w:hanging="705"/>
      </w:pPr>
      <w:r>
        <w:t>1.5.1</w:t>
      </w:r>
      <w:r>
        <w:tab/>
        <w:t>im Rahmen der Meinungs- und Pressefreiheit erfolgt;</w:t>
      </w:r>
    </w:p>
    <w:p w:rsidR="00B543FD" w:rsidRDefault="00B543FD" w:rsidP="007B1D15">
      <w:pPr>
        <w:pStyle w:val="-OlWIRStandardtextEinzug-"/>
        <w:ind w:left="705" w:hanging="705"/>
      </w:pPr>
      <w:r>
        <w:t>1.5.2</w:t>
      </w:r>
      <w:r>
        <w:tab/>
        <w:t xml:space="preserve">bei Aufdeckung einer rechtswidrigen Handlung, zum Beispiel </w:t>
      </w:r>
      <w:proofErr w:type="spellStart"/>
      <w:r>
        <w:t>Whistle</w:t>
      </w:r>
      <w:r w:rsidR="007B1D15">
        <w:softHyphen/>
      </w:r>
      <w:r>
        <w:t>blowing</w:t>
      </w:r>
      <w:proofErr w:type="spellEnd"/>
      <w:r>
        <w:t xml:space="preserve"> im Sinne der EU-Whistleblower-Richtlinie geschieht;</w:t>
      </w:r>
    </w:p>
    <w:p w:rsidR="00B543FD" w:rsidRDefault="00B543FD" w:rsidP="007B1D15">
      <w:pPr>
        <w:pStyle w:val="-OlWIRStandardtextEinzug-"/>
        <w:ind w:left="705" w:hanging="705"/>
      </w:pPr>
      <w:r>
        <w:t>1.5.3</w:t>
      </w:r>
      <w:r>
        <w:tab/>
        <w:t xml:space="preserve">für Arbeitnehmer gegenüber Arbeitnehmervertretern, soweit dies für die Wahrnehmung von Arbeitnehmerrechten erforderlich ist. </w:t>
      </w:r>
    </w:p>
    <w:p w:rsidR="00B543FD" w:rsidRDefault="000B7245" w:rsidP="007B1D15">
      <w:pPr>
        <w:pStyle w:val="-OlWIRStandardtextEinzug-"/>
        <w:ind w:left="705" w:hanging="705"/>
      </w:pPr>
      <w:r>
        <w:t>1.5.4</w:t>
      </w:r>
      <w:r>
        <w:tab/>
        <w:t>Diese gesetzlichen Ausnahmen sind nicht abschließend, weil der Gesetzg</w:t>
      </w:r>
      <w:r>
        <w:t>e</w:t>
      </w:r>
      <w:r>
        <w:t xml:space="preserve">ber in § 5 Abs. 1 </w:t>
      </w:r>
      <w:proofErr w:type="spellStart"/>
      <w:r w:rsidR="004A297F">
        <w:t>GeschGehG</w:t>
      </w:r>
      <w:proofErr w:type="spellEnd"/>
      <w:r w:rsidR="004A297F">
        <w:t xml:space="preserve"> </w:t>
      </w:r>
      <w:bookmarkStart w:id="2" w:name="_GoBack"/>
      <w:bookmarkEnd w:id="2"/>
      <w:r>
        <w:t>am Ende diesen Ausnahmen ein „insbesond</w:t>
      </w:r>
      <w:r>
        <w:t>e</w:t>
      </w:r>
      <w:r>
        <w:t xml:space="preserve">re“ vorangestellt hat. </w:t>
      </w:r>
    </w:p>
    <w:p w:rsidR="000B7245" w:rsidRPr="004D3A9C" w:rsidRDefault="000B7245" w:rsidP="007B1D15">
      <w:pPr>
        <w:pStyle w:val="-OlWIRStandardtextEinzug-"/>
        <w:ind w:left="705" w:hanging="705"/>
        <w:rPr>
          <w:sz w:val="32"/>
          <w:szCs w:val="32"/>
        </w:rPr>
      </w:pPr>
      <w:r w:rsidRPr="004D3A9C">
        <w:rPr>
          <w:sz w:val="32"/>
          <w:szCs w:val="32"/>
        </w:rPr>
        <w:t>1.6</w:t>
      </w:r>
      <w:r w:rsidRPr="004D3A9C">
        <w:rPr>
          <w:sz w:val="32"/>
          <w:szCs w:val="32"/>
        </w:rPr>
        <w:tab/>
        <w:t xml:space="preserve">Ansprüche bei Rechtsverletzungen </w:t>
      </w:r>
    </w:p>
    <w:p w:rsidR="000B7245" w:rsidRDefault="000B7245" w:rsidP="007B1D15">
      <w:pPr>
        <w:pStyle w:val="-OlWIRStandardtextEinzug-"/>
        <w:ind w:left="705" w:hanging="705"/>
      </w:pPr>
      <w:r>
        <w:t>1.6.1</w:t>
      </w:r>
      <w:r>
        <w:tab/>
        <w:t xml:space="preserve">Die Ansprüche des Verletzten sind weitgehend an die Ansprüche </w:t>
      </w:r>
      <w:r w:rsidR="004D3A9C">
        <w:t>der Ve</w:t>
      </w:r>
      <w:r w:rsidR="004D3A9C">
        <w:t>r</w:t>
      </w:r>
      <w:r w:rsidR="004D3A9C">
        <w:t>letzten in weiteren</w:t>
      </w:r>
      <w:r>
        <w:t xml:space="preserve"> Gesetze</w:t>
      </w:r>
      <w:r w:rsidR="004D3A9C">
        <w:t>n</w:t>
      </w:r>
      <w:r>
        <w:t xml:space="preserve"> des gewerblichen Rechtsschutzes und des U</w:t>
      </w:r>
      <w:r>
        <w:t>r</w:t>
      </w:r>
      <w:r>
        <w:t xml:space="preserve">heberrechts angepasst. </w:t>
      </w:r>
    </w:p>
    <w:p w:rsidR="000B7245" w:rsidRDefault="000B7245" w:rsidP="007B1D15">
      <w:pPr>
        <w:pStyle w:val="-OlWIRStandardtextEinzug-"/>
        <w:ind w:left="705" w:hanging="705"/>
      </w:pPr>
      <w:r>
        <w:t>1.6.2</w:t>
      </w:r>
      <w:r>
        <w:tab/>
        <w:t xml:space="preserve">Soweit sich Regelungslücken im GeschGehG ergeben, kann ergänzend auf §§ 823, 1004 BGB zurückgegriffen werden. </w:t>
      </w:r>
    </w:p>
    <w:p w:rsidR="00E73580" w:rsidRDefault="00E73580" w:rsidP="007B1D15">
      <w:pPr>
        <w:pStyle w:val="-OlWIRStandardtextEinzug-"/>
        <w:ind w:left="705" w:hanging="705"/>
      </w:pPr>
      <w:r>
        <w:t>1.6.3</w:t>
      </w:r>
      <w:r>
        <w:tab/>
        <w:t xml:space="preserve">In Stichworten hat der Geheimnisinhaber </w:t>
      </w:r>
      <w:r w:rsidR="00B64314">
        <w:t>potenziell Ansprüche auf</w:t>
      </w:r>
    </w:p>
    <w:p w:rsidR="00B64314" w:rsidRDefault="00B64314" w:rsidP="007B1D15">
      <w:pPr>
        <w:pStyle w:val="-OlWIRStandardtextEinzug-"/>
        <w:numPr>
          <w:ilvl w:val="0"/>
          <w:numId w:val="21"/>
        </w:numPr>
      </w:pPr>
      <w:r>
        <w:t>Beseitigung und Unterlassung, § 6 GeschGehG;</w:t>
      </w:r>
    </w:p>
    <w:p w:rsidR="00B64314" w:rsidRDefault="00B64314" w:rsidP="007B1D15">
      <w:pPr>
        <w:pStyle w:val="-OlWIRStandardtextEinzug-"/>
        <w:numPr>
          <w:ilvl w:val="0"/>
          <w:numId w:val="21"/>
        </w:numPr>
      </w:pPr>
      <w:r>
        <w:t>Vernichtung, Herausgabe, Rückruf, Entfernung und Rücknahme vom Markt, § 7 GeschGehG;</w:t>
      </w:r>
    </w:p>
    <w:p w:rsidR="00B64314" w:rsidRDefault="00B64314" w:rsidP="007B1D15">
      <w:pPr>
        <w:pStyle w:val="-OlWIRStandardtextEinzug-"/>
        <w:numPr>
          <w:ilvl w:val="0"/>
          <w:numId w:val="21"/>
        </w:numPr>
      </w:pPr>
      <w:r>
        <w:t>Auskunft und Schadensersatz bei Verletzung der Auskunftspflicht, § 8 G</w:t>
      </w:r>
      <w:r>
        <w:t>e</w:t>
      </w:r>
      <w:r>
        <w:t>schGehG; sowie</w:t>
      </w:r>
    </w:p>
    <w:p w:rsidR="00B64314" w:rsidRDefault="005F4C15" w:rsidP="007B1D15">
      <w:pPr>
        <w:pStyle w:val="-OlWIRStandardtextEinzug-"/>
        <w:numPr>
          <w:ilvl w:val="0"/>
          <w:numId w:val="21"/>
        </w:numPr>
      </w:pPr>
      <w:r>
        <w:lastRenderedPageBreak/>
        <w:t xml:space="preserve">aus einer Haftung des </w:t>
      </w:r>
      <w:proofErr w:type="spellStart"/>
      <w:r>
        <w:t>Rechte</w:t>
      </w:r>
      <w:r w:rsidR="00B64314">
        <w:t>verletzers</w:t>
      </w:r>
      <w:proofErr w:type="spellEnd"/>
      <w:r w:rsidR="00B64314">
        <w:t xml:space="preserve"> auf Schadensersatz auch unter B</w:t>
      </w:r>
      <w:r w:rsidR="00B64314">
        <w:t>e</w:t>
      </w:r>
      <w:r w:rsidR="00B64314">
        <w:t xml:space="preserve">rücksichtigung des Gewinns sowie Schäden, die nicht Vermögensschäden sind. </w:t>
      </w:r>
    </w:p>
    <w:p w:rsidR="00B64314" w:rsidRDefault="00B64314" w:rsidP="007B1D15">
      <w:pPr>
        <w:pStyle w:val="-OlWIRStandardtextEinzug-"/>
        <w:ind w:left="705" w:hanging="705"/>
      </w:pPr>
      <w:r>
        <w:t>1.6.4</w:t>
      </w:r>
      <w:r>
        <w:tab/>
        <w:t xml:space="preserve">Auch der Inhaber eines Unternehmens oder ein Dritter, die von einem </w:t>
      </w:r>
      <w:r w:rsidRPr="00B64314">
        <w:t>Geschäftsgeheimnis</w:t>
      </w:r>
      <w:r>
        <w:t xml:space="preserve"> Gebrauch machen, haften, wenn dies in Kenntnis des Verstoßes gegen Handlungsverbote bzw. vertragliche Nutzungsbeschrä</w:t>
      </w:r>
      <w:r>
        <w:t>n</w:t>
      </w:r>
      <w:r>
        <w:t xml:space="preserve">kungen erfolgt. </w:t>
      </w:r>
    </w:p>
    <w:p w:rsidR="00B64314" w:rsidRPr="007B1D15" w:rsidRDefault="004F0682" w:rsidP="007B1D15">
      <w:pPr>
        <w:pStyle w:val="-OlWIRberschrift1-"/>
        <w:jc w:val="both"/>
      </w:pPr>
      <w:r w:rsidRPr="007B1D15">
        <w:t>Das GeschGehG in der betrieblichen Umsetzung</w:t>
      </w:r>
    </w:p>
    <w:p w:rsidR="004F0682" w:rsidRDefault="004D3A9C" w:rsidP="00F31862">
      <w:pPr>
        <w:pStyle w:val="-OlWIRStandardtextEinzug-"/>
        <w:ind w:left="705" w:hanging="705"/>
      </w:pPr>
      <w:r>
        <w:t>2.1</w:t>
      </w:r>
      <w:r>
        <w:tab/>
      </w:r>
      <w:r w:rsidR="004F0682">
        <w:t xml:space="preserve">Das GeschGehG kann eine </w:t>
      </w:r>
      <w:r w:rsidR="009C523A">
        <w:t xml:space="preserve">qualifizierte Geheimhaltungsvereinbarung nicht ersetzen, die zwischen Unternehmen anlässlich eines Zugangs zu und einer Nutzung von </w:t>
      </w:r>
      <w:r w:rsidR="009C523A" w:rsidRPr="009C523A">
        <w:t>Geschäftsgeheimnis</w:t>
      </w:r>
      <w:r w:rsidR="009C523A">
        <w:t>sen zu treffe</w:t>
      </w:r>
      <w:r w:rsidR="005F4C15">
        <w:t xml:space="preserve">n </w:t>
      </w:r>
      <w:r w:rsidR="009C523A">
        <w:t xml:space="preserve">ist. Einerseits kann der Schutzgegenstand einer Vertraulichkeitsvereinbarung weiter sein als das </w:t>
      </w:r>
      <w:r w:rsidR="009C523A" w:rsidRPr="009C523A">
        <w:t>Geschäftsgeheimnis</w:t>
      </w:r>
      <w:r w:rsidR="009C523A">
        <w:t xml:space="preserve"> in den Grenzen der gesetzlichen Definition; andere</w:t>
      </w:r>
      <w:r w:rsidR="009C523A">
        <w:t>r</w:t>
      </w:r>
      <w:r w:rsidR="009C523A">
        <w:t>seits sind hier der Umfang der Nut</w:t>
      </w:r>
      <w:r>
        <w:t>zung bzw. auch deren</w:t>
      </w:r>
      <w:r w:rsidR="009C523A">
        <w:t xml:space="preserve"> Grenzen zu regeln, damit das </w:t>
      </w:r>
      <w:r w:rsidR="009C523A" w:rsidRPr="009C523A">
        <w:t>Geschäftsgeheimnis</w:t>
      </w:r>
      <w:r w:rsidR="009C523A">
        <w:t xml:space="preserve"> nur für den vertraglichen Zweck und nicht für andere Zwecke des Geheimnisnehmers genutzt wird. </w:t>
      </w:r>
    </w:p>
    <w:p w:rsidR="009C523A" w:rsidRDefault="004D3A9C" w:rsidP="005F4C15">
      <w:pPr>
        <w:pStyle w:val="-OlWIRStandardtextEinzug-"/>
        <w:ind w:left="705" w:hanging="705"/>
      </w:pPr>
      <w:r>
        <w:t>2</w:t>
      </w:r>
      <w:r w:rsidR="009C523A">
        <w:t>.2</w:t>
      </w:r>
      <w:r w:rsidR="009C523A">
        <w:tab/>
      </w:r>
      <w:r w:rsidR="005F4C15">
        <w:tab/>
      </w:r>
      <w:r w:rsidR="00166620" w:rsidRPr="00166620">
        <w:t>Geschäftsgeheimnis</w:t>
      </w:r>
      <w:r w:rsidR="00166620">
        <w:t xml:space="preserve"> ist nur, was Gegenstand von angemessenen Gehei</w:t>
      </w:r>
      <w:r w:rsidR="00166620">
        <w:t>m</w:t>
      </w:r>
      <w:r w:rsidR="00166620">
        <w:t>haltungsmaßnahmen ist. Durch organisatorische und technische Sicheru</w:t>
      </w:r>
      <w:r w:rsidR="00166620">
        <w:t>n</w:t>
      </w:r>
      <w:r w:rsidR="00166620">
        <w:t xml:space="preserve">gen können Vorkehrungen getroffen werden. Beispiele solcher Sicherungen können </w:t>
      </w:r>
      <w:r>
        <w:t>betreffen</w:t>
      </w:r>
    </w:p>
    <w:p w:rsidR="005A5531" w:rsidRDefault="00166620" w:rsidP="004F6032">
      <w:pPr>
        <w:pStyle w:val="-OlWIRStandardtextEinzug-"/>
        <w:numPr>
          <w:ilvl w:val="0"/>
          <w:numId w:val="19"/>
        </w:numPr>
      </w:pPr>
      <w:r>
        <w:t>die Verwendung von Microsoft Office 365</w:t>
      </w:r>
      <w:r w:rsidR="003A4805">
        <w:t>, Stichworte hierzu: Au</w:t>
      </w:r>
      <w:r w:rsidR="003A4805">
        <w:t>f</w:t>
      </w:r>
      <w:r w:rsidR="003A4805">
        <w:t xml:space="preserve">tragsverarbeitung; Datenverwendung für eigene Zwecke bei MS; Cloud und Privacy </w:t>
      </w:r>
      <w:proofErr w:type="spellStart"/>
      <w:r w:rsidR="003A4805">
        <w:t>Shield</w:t>
      </w:r>
      <w:proofErr w:type="spellEnd"/>
      <w:r w:rsidR="003A4805">
        <w:t>; individuelle Datenschutzeinstellungen; hierzu z.B.</w:t>
      </w:r>
      <w:r>
        <w:t>;</w:t>
      </w:r>
      <w:r w:rsidR="001375FA">
        <w:rPr>
          <w:rStyle w:val="Funotenzeichen"/>
        </w:rPr>
        <w:footnoteReference w:id="7"/>
      </w:r>
    </w:p>
    <w:p w:rsidR="00166620" w:rsidRDefault="00166620" w:rsidP="004F6032">
      <w:pPr>
        <w:pStyle w:val="-OlWIRStandardtextEinzug-"/>
        <w:numPr>
          <w:ilvl w:val="0"/>
          <w:numId w:val="19"/>
        </w:numPr>
      </w:pPr>
      <w:r>
        <w:t>eine Kennzeichnung</w:t>
      </w:r>
      <w:r w:rsidR="003A4805">
        <w:t xml:space="preserve"> oder ein elektronisches Wasserzeichen</w:t>
      </w:r>
      <w:r>
        <w:t xml:space="preserve"> von (elek</w:t>
      </w:r>
      <w:r>
        <w:t>t</w:t>
      </w:r>
      <w:r>
        <w:t>ronischen) Dokumenten;</w:t>
      </w:r>
    </w:p>
    <w:p w:rsidR="00166620" w:rsidRDefault="00166620" w:rsidP="004F6032">
      <w:pPr>
        <w:pStyle w:val="-OlWIRStandardtextEinzug-"/>
        <w:numPr>
          <w:ilvl w:val="0"/>
          <w:numId w:val="19"/>
        </w:numPr>
      </w:pPr>
      <w:r>
        <w:t xml:space="preserve">Zugangs- und Zugriffsregelungen, insbesondere auch bei Remote-Zugriffen Dritter; </w:t>
      </w:r>
    </w:p>
    <w:p w:rsidR="00166620" w:rsidRDefault="00166620" w:rsidP="004F6032">
      <w:pPr>
        <w:pStyle w:val="-OlWIRStandardtextEinzug-"/>
        <w:numPr>
          <w:ilvl w:val="0"/>
          <w:numId w:val="19"/>
        </w:numPr>
      </w:pPr>
      <w:r>
        <w:t>Prüfung von Wartungs- und Pflegeverträgen mit Dri</w:t>
      </w:r>
      <w:r w:rsidR="001A4855">
        <w:t>tten, zum</w:t>
      </w:r>
      <w:r w:rsidR="00CB3F62">
        <w:t xml:space="preserve"> Beispiel zur IT </w:t>
      </w:r>
      <w:r w:rsidR="001A4855">
        <w:t>auf Schutzlücken</w:t>
      </w:r>
      <w:r>
        <w:t xml:space="preserve">; </w:t>
      </w:r>
    </w:p>
    <w:p w:rsidR="004F6032" w:rsidRDefault="004F6032" w:rsidP="004F6032">
      <w:pPr>
        <w:pStyle w:val="-OlWIRStandardtextEinzug-"/>
        <w:numPr>
          <w:ilvl w:val="0"/>
          <w:numId w:val="19"/>
        </w:numPr>
      </w:pPr>
      <w:r>
        <w:t xml:space="preserve">Verschlüsselung </w:t>
      </w:r>
      <w:r w:rsidR="00E1532A">
        <w:t xml:space="preserve">beispielsweise </w:t>
      </w:r>
      <w:r>
        <w:t xml:space="preserve">auch durch </w:t>
      </w:r>
      <w:r w:rsidR="00E1532A">
        <w:t xml:space="preserve">Nutzung </w:t>
      </w:r>
      <w:r>
        <w:t xml:space="preserve">einer </w:t>
      </w:r>
      <w:proofErr w:type="spellStart"/>
      <w:r>
        <w:t>Blockchain</w:t>
      </w:r>
      <w:proofErr w:type="spellEnd"/>
      <w:r>
        <w:t>;</w:t>
      </w:r>
    </w:p>
    <w:p w:rsidR="004F6032" w:rsidRDefault="004F6032" w:rsidP="004F6032">
      <w:pPr>
        <w:pStyle w:val="-OlWIRStandardtextEinzug-"/>
        <w:numPr>
          <w:ilvl w:val="0"/>
          <w:numId w:val="19"/>
        </w:numPr>
      </w:pPr>
      <w:r>
        <w:t>IT-Sicherheits-Software speziell gegen Hacking;</w:t>
      </w:r>
    </w:p>
    <w:p w:rsidR="004F6032" w:rsidRDefault="004F6032" w:rsidP="004F6032">
      <w:pPr>
        <w:pStyle w:val="-OlWIRStandardtextEinzug-"/>
        <w:numPr>
          <w:ilvl w:val="0"/>
          <w:numId w:val="19"/>
        </w:numPr>
      </w:pPr>
      <w:r>
        <w:t xml:space="preserve">Regelung zur elektronischen Versendung von </w:t>
      </w:r>
      <w:r w:rsidRPr="004F6032">
        <w:t>Geschäftsgeheimnis</w:t>
      </w:r>
      <w:r>
        <w:t>sen;</w:t>
      </w:r>
    </w:p>
    <w:p w:rsidR="004F6032" w:rsidRDefault="004F6032" w:rsidP="004F6032">
      <w:pPr>
        <w:pStyle w:val="-OlWIRStandardtextEinzug-"/>
        <w:numPr>
          <w:ilvl w:val="0"/>
          <w:numId w:val="19"/>
        </w:numPr>
      </w:pPr>
      <w:r>
        <w:t>Regelung, wie eine elektronische Versendung erfolgen soll, also Ve</w:t>
      </w:r>
      <w:r>
        <w:t>r</w:t>
      </w:r>
      <w:r>
        <w:t>schlüsselung;</w:t>
      </w:r>
    </w:p>
    <w:p w:rsidR="00C67D24" w:rsidRDefault="00C67D24" w:rsidP="004F6032">
      <w:pPr>
        <w:pStyle w:val="-OlWIRStandardtextEinzug-"/>
        <w:numPr>
          <w:ilvl w:val="0"/>
          <w:numId w:val="19"/>
        </w:numPr>
      </w:pPr>
      <w:r>
        <w:lastRenderedPageBreak/>
        <w:t xml:space="preserve">bei einer Public Cloud </w:t>
      </w:r>
      <w:r w:rsidR="00E1532A">
        <w:t xml:space="preserve">ist </w:t>
      </w:r>
      <w:r w:rsidR="002E6D3C">
        <w:t>an die Zugriffsmöglichkeiten von zum Be</w:t>
      </w:r>
      <w:r w:rsidR="002E6D3C">
        <w:t>i</w:t>
      </w:r>
      <w:r w:rsidR="002E6D3C">
        <w:t>spiel Geheimdiensten denken;</w:t>
      </w:r>
    </w:p>
    <w:p w:rsidR="002E6D3C" w:rsidRDefault="002E6D3C" w:rsidP="004F6032">
      <w:pPr>
        <w:pStyle w:val="-OlWIRStandardtextEinzug-"/>
        <w:numPr>
          <w:ilvl w:val="0"/>
          <w:numId w:val="19"/>
        </w:numPr>
      </w:pPr>
      <w:r>
        <w:t>eine Schulung von Mitarbeitern zu erforderlichen Sicherheitsmaßna</w:t>
      </w:r>
      <w:r>
        <w:t>h</w:t>
      </w:r>
      <w:r>
        <w:t>men, weil der Mensch der größte Risikofaktor</w:t>
      </w:r>
      <w:r w:rsidR="00E1532A">
        <w:t xml:space="preserve"> bleibt</w:t>
      </w:r>
      <w:r>
        <w:t xml:space="preserve">. </w:t>
      </w:r>
    </w:p>
    <w:p w:rsidR="005A5531" w:rsidRDefault="002E6D3C" w:rsidP="001A4855">
      <w:pPr>
        <w:pStyle w:val="-OlWIRStandardtextEinzug-"/>
        <w:ind w:left="705" w:hanging="495"/>
      </w:pPr>
      <w:r>
        <w:t>2.3</w:t>
      </w:r>
      <w:r>
        <w:tab/>
      </w:r>
      <w:r w:rsidR="001A4855">
        <w:tab/>
      </w:r>
      <w:r>
        <w:t xml:space="preserve">Für die Ausnahmen vom Geheimnisschutz kann entweder auf das Gesetz </w:t>
      </w:r>
      <w:r w:rsidR="00CB3F62">
        <w:t>verwiesen oder eine weiter einschränkend</w:t>
      </w:r>
      <w:r>
        <w:t>e Regelung in die Vertraulic</w:t>
      </w:r>
      <w:r>
        <w:t>h</w:t>
      </w:r>
      <w:r>
        <w:t xml:space="preserve">keitsvereinbarung aufgenommen werden. Dies betrifft insbesondere einen Ausschluss des Reverse Engineering. Ist dies vertraglich möglich? </w:t>
      </w:r>
    </w:p>
    <w:p w:rsidR="002E6D3C" w:rsidRDefault="002E6D3C" w:rsidP="001A4855">
      <w:pPr>
        <w:pStyle w:val="-OlWIRStandardtextEinzug-"/>
        <w:numPr>
          <w:ilvl w:val="0"/>
          <w:numId w:val="19"/>
        </w:numPr>
      </w:pPr>
      <w:r>
        <w:t>Der Gesetzgeber wollte dem Geheimnisinhaber keine exklusive Recht</w:t>
      </w:r>
      <w:r>
        <w:t>s</w:t>
      </w:r>
      <w:r>
        <w:t xml:space="preserve">position im Sinne eines </w:t>
      </w:r>
      <w:r w:rsidR="003A4805">
        <w:t>Monopol</w:t>
      </w:r>
      <w:r>
        <w:t>rechts an der geheimen Information geben</w:t>
      </w:r>
      <w:r w:rsidR="00A35B16" w:rsidRPr="00A35B16">
        <w:t xml:space="preserve"> </w:t>
      </w:r>
      <w:r w:rsidR="00A35B16">
        <w:t>wie auch der Erwägungsgrund 16 der EU-Geheimnisschutz-Richtlinie festhält</w:t>
      </w:r>
      <w:r>
        <w:t xml:space="preserve">, sondern </w:t>
      </w:r>
      <w:r w:rsidR="003A4805">
        <w:t xml:space="preserve">primär auch zivilrechtliche </w:t>
      </w:r>
      <w:r>
        <w:t>Abwehrrechte</w:t>
      </w:r>
      <w:r w:rsidR="000D1833">
        <w:rPr>
          <w:rStyle w:val="Funotenzeichen"/>
        </w:rPr>
        <w:footnoteReference w:id="8"/>
      </w:r>
      <w:r w:rsidR="00A35B16">
        <w:t xml:space="preserve"> bereitstellen</w:t>
      </w:r>
      <w:r>
        <w:t>.</w:t>
      </w:r>
      <w:r w:rsidR="000D1833">
        <w:rPr>
          <w:rStyle w:val="Funotenzeichen"/>
        </w:rPr>
        <w:footnoteReference w:id="9"/>
      </w:r>
    </w:p>
    <w:p w:rsidR="002E6D3C" w:rsidRDefault="002E6D3C" w:rsidP="002E6D3C">
      <w:pPr>
        <w:pStyle w:val="-OlWIRStandardtextEinzug-"/>
        <w:numPr>
          <w:ilvl w:val="0"/>
          <w:numId w:val="19"/>
        </w:numPr>
      </w:pPr>
      <w:r>
        <w:t xml:space="preserve">§ 3 Abs. 1 lit. b GeschGehG sieht aber als Bedingung für </w:t>
      </w:r>
      <w:proofErr w:type="gramStart"/>
      <w:r>
        <w:t>erlaubtes R</w:t>
      </w:r>
      <w:r>
        <w:t>e</w:t>
      </w:r>
      <w:r>
        <w:t>verse</w:t>
      </w:r>
      <w:proofErr w:type="gramEnd"/>
      <w:r>
        <w:t xml:space="preserve"> Engineering auch vor, dass der Untersuchende ein rechtmäßiger Besitzer des Produk</w:t>
      </w:r>
      <w:r w:rsidR="001A4855">
        <w:t>ts ist und keine Regelung seine</w:t>
      </w:r>
      <w:r>
        <w:t xml:space="preserve"> Nutzung so b</w:t>
      </w:r>
      <w:r>
        <w:t>e</w:t>
      </w:r>
      <w:r>
        <w:t xml:space="preserve">schränkt, dass ein Reverse Engineering diese vertragliche Verpflichtung verletzt. Eine </w:t>
      </w:r>
      <w:r w:rsidR="001A4855">
        <w:t>solche Nutzungsbeschränkung könnte</w:t>
      </w:r>
      <w:r>
        <w:t xml:space="preserve"> aber in einem NDA vereinbart werden</w:t>
      </w:r>
      <w:r w:rsidR="00A35B16">
        <w:t>, soweit dies nicht mit anderen gesetzlichen Anford</w:t>
      </w:r>
      <w:r w:rsidR="00A35B16">
        <w:t>e</w:t>
      </w:r>
      <w:r w:rsidR="00A35B16">
        <w:t>rungen außerhalb des Geschäftsgeheimnisgesetzes kollidiert.</w:t>
      </w:r>
      <w:r w:rsidR="00D0438D">
        <w:rPr>
          <w:rStyle w:val="Funotenzeichen"/>
        </w:rPr>
        <w:footnoteReference w:id="10"/>
      </w:r>
      <w:r>
        <w:t xml:space="preserve"> </w:t>
      </w:r>
    </w:p>
    <w:p w:rsidR="002E6D3C" w:rsidRDefault="002E6D3C" w:rsidP="002E6D3C">
      <w:pPr>
        <w:pStyle w:val="-OlWIRStandardtextEinzug-"/>
        <w:numPr>
          <w:ilvl w:val="0"/>
          <w:numId w:val="19"/>
        </w:numPr>
      </w:pPr>
      <w:r>
        <w:t>Dennoch bleibt an dieser Stelle das Erfordernis einer kartell- und AGB-rechtlichen Prüfung anhand der EU-Technologietransfer-GVO, der EU-GVO zu vertikalen Vereinbarungen</w:t>
      </w:r>
      <w:r w:rsidR="00391E72">
        <w:t>,</w:t>
      </w:r>
      <w:r w:rsidR="00D0438D">
        <w:rPr>
          <w:rStyle w:val="Funotenzeichen"/>
        </w:rPr>
        <w:footnoteReference w:id="11"/>
      </w:r>
      <w:r w:rsidR="00391E72">
        <w:t xml:space="preserve"> der EU-F&amp;E-GVO, anhand Art. 101 ff. AEUV sowie §§ 1 und 2 GWB. </w:t>
      </w:r>
    </w:p>
    <w:p w:rsidR="00391E72" w:rsidRDefault="00391E72" w:rsidP="002E6D3C">
      <w:pPr>
        <w:pStyle w:val="-OlWIRStandardtextEinzug-"/>
        <w:numPr>
          <w:ilvl w:val="0"/>
          <w:numId w:val="19"/>
        </w:numPr>
      </w:pPr>
      <w:r>
        <w:t>Schließlich ist zu fragen, ob eine unangemessene Benachteiligung w</w:t>
      </w:r>
      <w:r>
        <w:t>e</w:t>
      </w:r>
      <w:r>
        <w:t>gen eines Verstoßes gegen den Grundgedanken der gesetzlichen Reg</w:t>
      </w:r>
      <w:r>
        <w:t>e</w:t>
      </w:r>
      <w:r>
        <w:t>lung, § 307 Abs. 2 BGB, bzw. eine unangemessene Benachteiligung aus Verstoß gegen Gebote von Treu und Glauben, § 307 Abs. 1 BGB, vo</w:t>
      </w:r>
      <w:r>
        <w:t>r</w:t>
      </w:r>
      <w:r>
        <w:t>liegt. An dieser Stelle kann man an das Argument denken, dass das G</w:t>
      </w:r>
      <w:r>
        <w:t>e</w:t>
      </w:r>
      <w:r>
        <w:t xml:space="preserve">schGehG im Gegensatz zum Urheberrecht für eine </w:t>
      </w:r>
      <w:proofErr w:type="spellStart"/>
      <w:r>
        <w:t>Decompilierung</w:t>
      </w:r>
      <w:proofErr w:type="spellEnd"/>
      <w:r>
        <w:t xml:space="preserve"> von Software in §§ 69 g Abs. 2, 69 e UrhG keine Regelung beinhaltet, dass ein solcher Ausschluss zur Nichtigkeit des vertraglichen Verbots führt. </w:t>
      </w:r>
    </w:p>
    <w:p w:rsidR="001F0D24" w:rsidRDefault="00F92700" w:rsidP="00723B18">
      <w:pPr>
        <w:pStyle w:val="-OlWIRStandardtextEinzug-"/>
        <w:numPr>
          <w:ilvl w:val="0"/>
          <w:numId w:val="19"/>
        </w:numPr>
      </w:pPr>
      <w:r>
        <w:t>Erforderlich ist eine zeitliche</w:t>
      </w:r>
      <w:r w:rsidR="00723B18">
        <w:t xml:space="preserve"> Begrenzung </w:t>
      </w:r>
      <w:r>
        <w:t>vertraglicher</w:t>
      </w:r>
      <w:r w:rsidR="00723B18">
        <w:t xml:space="preserve"> Beschränkung</w:t>
      </w:r>
      <w:r>
        <w:t>en im Hinblick auf die Geheimhaltungsverpflichtung</w:t>
      </w:r>
      <w:r w:rsidR="00723B18">
        <w:t xml:space="preserve"> bis zu einer öffentl</w:t>
      </w:r>
      <w:r w:rsidR="00723B18">
        <w:t>i</w:t>
      </w:r>
      <w:r w:rsidR="00723B18">
        <w:t xml:space="preserve">chen Verfügbarkeit des Gegenstands des </w:t>
      </w:r>
      <w:r w:rsidR="00723B18" w:rsidRPr="00723B18">
        <w:t>Geschäftsgeheimnis</w:t>
      </w:r>
      <w:r w:rsidR="00723B18">
        <w:t xml:space="preserve">ses, weil </w:t>
      </w:r>
      <w:r w:rsidR="00723B18">
        <w:lastRenderedPageBreak/>
        <w:t>ab diesem Zeitpunkt die Erlangung der bisher geheimen Information ausdrücklich erlaubt ist, § 3 Abs. 1 Nr. 2 lit. a GeschGehG,</w:t>
      </w:r>
    </w:p>
    <w:p w:rsidR="00723B18" w:rsidRDefault="00723B18" w:rsidP="00723B18">
      <w:pPr>
        <w:pStyle w:val="-OlWIRStandardtextEinzug-"/>
        <w:numPr>
          <w:ilvl w:val="0"/>
          <w:numId w:val="19"/>
        </w:numPr>
      </w:pPr>
      <w:r>
        <w:t>Für den Fal</w:t>
      </w:r>
      <w:r w:rsidR="00E1532A">
        <w:t>l einer Beendigung der Geheimhaltungs</w:t>
      </w:r>
      <w:r>
        <w:t>vereinbarung</w:t>
      </w:r>
      <w:r w:rsidR="00E1532A">
        <w:t xml:space="preserve"> </w:t>
      </w:r>
      <w:r w:rsidR="00F92700">
        <w:t>sollte daran gedacht werden</w:t>
      </w:r>
      <w:r>
        <w:t>, dass auch nachvertraglich das Verbot eines R</w:t>
      </w:r>
      <w:r>
        <w:t>e</w:t>
      </w:r>
      <w:r>
        <w:t>verse Engineering bis zu einer öffentlichen Verfügbarkeit des Gege</w:t>
      </w:r>
      <w:r>
        <w:t>n</w:t>
      </w:r>
      <w:r>
        <w:t xml:space="preserve">stands des </w:t>
      </w:r>
      <w:r w:rsidRPr="00723B18">
        <w:t>Geschäftsgeheimnis</w:t>
      </w:r>
      <w:r>
        <w:t>ses</w:t>
      </w:r>
      <w:r w:rsidR="00F92700">
        <w:t xml:space="preserve"> vereinbart werden kann</w:t>
      </w:r>
      <w:r>
        <w:t xml:space="preserve">. </w:t>
      </w:r>
    </w:p>
    <w:p w:rsidR="004F0682" w:rsidRDefault="006A5030" w:rsidP="00F92700">
      <w:pPr>
        <w:pStyle w:val="-OlWIRStandardtextEinzug-"/>
        <w:ind w:left="705" w:hanging="495"/>
      </w:pPr>
      <w:r>
        <w:t>2.4</w:t>
      </w:r>
      <w:r>
        <w:tab/>
      </w:r>
      <w:r w:rsidR="00F92700">
        <w:tab/>
      </w:r>
      <w:r>
        <w:t xml:space="preserve">Vertraglich sollte der Nutzungsumfang des </w:t>
      </w:r>
      <w:r w:rsidRPr="006A5030">
        <w:t>Geschäftsgeheimnis</w:t>
      </w:r>
      <w:r>
        <w:t xml:space="preserve">empfängers klar spezifiziert sein, zum Beispiel „ausschließlich für“ und „nicht für </w:t>
      </w:r>
      <w:r w:rsidR="00F92700">
        <w:t>and</w:t>
      </w:r>
      <w:r w:rsidR="00F92700">
        <w:t>e</w:t>
      </w:r>
      <w:r w:rsidR="00F92700">
        <w:t xml:space="preserve">re </w:t>
      </w:r>
      <w:r>
        <w:t xml:space="preserve">eigene oder Zwecke Dritter“. </w:t>
      </w:r>
    </w:p>
    <w:p w:rsidR="006A5030" w:rsidRDefault="006A5030" w:rsidP="00F92700">
      <w:pPr>
        <w:pStyle w:val="-OlWIRStandardtextEinzug-"/>
        <w:ind w:left="705" w:hanging="495"/>
      </w:pPr>
      <w:r>
        <w:t>2.5</w:t>
      </w:r>
      <w:r>
        <w:tab/>
        <w:t xml:space="preserve">Eine Einzelfallprüfung sollte im Hinblick auf die Ausnahmen vom </w:t>
      </w:r>
      <w:r w:rsidRPr="006A5030">
        <w:t>G</w:t>
      </w:r>
      <w:r w:rsidRPr="006A5030">
        <w:t>e</w:t>
      </w:r>
      <w:r w:rsidRPr="006A5030">
        <w:t>schäftsgeheimnis</w:t>
      </w:r>
      <w:r>
        <w:t xml:space="preserve">schutz vorgenommen werden, also Arbeitnehmerrechte, Handelsvertreterrecht, Datenschutz, </w:t>
      </w:r>
      <w:proofErr w:type="spellStart"/>
      <w:r>
        <w:t>Whistleblowing</w:t>
      </w:r>
      <w:proofErr w:type="spellEnd"/>
      <w:r>
        <w:t>, Berufsgeheimni</w:t>
      </w:r>
      <w:r>
        <w:t>s</w:t>
      </w:r>
      <w:r>
        <w:t xml:space="preserve">schutz oder andere im Einzelfall auf den Sachverhalt anwendbare Gesetze. </w:t>
      </w:r>
    </w:p>
    <w:p w:rsidR="006A5030" w:rsidRDefault="006A5030" w:rsidP="00F92700">
      <w:pPr>
        <w:pStyle w:val="-OlWIRStandardtextEinzug-"/>
        <w:ind w:left="705" w:hanging="495"/>
      </w:pPr>
      <w:r>
        <w:t>2.6</w:t>
      </w:r>
      <w:r>
        <w:tab/>
        <w:t xml:space="preserve">Die Vertragsgestaltung </w:t>
      </w:r>
      <w:r w:rsidR="00CB3F62">
        <w:t xml:space="preserve">ist </w:t>
      </w:r>
      <w:r>
        <w:t>an den Zweck des Vertrags an</w:t>
      </w:r>
      <w:r w:rsidR="00CB3F62">
        <w:t>zu</w:t>
      </w:r>
      <w:r>
        <w:t xml:space="preserve">passen, ob </w:t>
      </w:r>
      <w:r w:rsidR="00E1532A">
        <w:t xml:space="preserve">es sich </w:t>
      </w:r>
      <w:r>
        <w:t>also zum Beispiel um einen Vorvertrag handelt, einen Entwicklungs-/Herstellungsvertrag, eine Produktionsvereinbarung anlässlich eines Unte</w:t>
      </w:r>
      <w:r>
        <w:t>r</w:t>
      </w:r>
      <w:r>
        <w:t>nehmenskaufs</w:t>
      </w:r>
      <w:r w:rsidR="00A43B93">
        <w:t xml:space="preserve">, eines Audits </w:t>
      </w:r>
      <w:r w:rsidR="00AE5737">
        <w:t>oder eine F&amp;E-Kooperation.</w:t>
      </w:r>
    </w:p>
    <w:p w:rsidR="00AE5737" w:rsidRDefault="00AE5737" w:rsidP="00F92700">
      <w:pPr>
        <w:pStyle w:val="-OlWIRStandardtextEinzug-"/>
        <w:ind w:left="705" w:hanging="495"/>
      </w:pPr>
      <w:r>
        <w:t>2.7</w:t>
      </w:r>
      <w:r>
        <w:tab/>
      </w:r>
      <w:r w:rsidR="00F92700">
        <w:t xml:space="preserve">Die Vereinbarung einer strafbewehrten </w:t>
      </w:r>
      <w:proofErr w:type="spellStart"/>
      <w:r w:rsidR="00F92700">
        <w:t>Vertragsstrafeklausel</w:t>
      </w:r>
      <w:proofErr w:type="spellEnd"/>
      <w:r w:rsidR="00F92700">
        <w:t xml:space="preserve"> kann</w:t>
      </w:r>
      <w:r>
        <w:t xml:space="preserve"> ein e</w:t>
      </w:r>
      <w:r>
        <w:t>f</w:t>
      </w:r>
      <w:r>
        <w:t xml:space="preserve">fektiver Schutz zur Durchsetzung des </w:t>
      </w:r>
      <w:r w:rsidRPr="00AE5737">
        <w:t>Geschäftsgeheimnis</w:t>
      </w:r>
      <w:r>
        <w:t>ses</w:t>
      </w:r>
      <w:r w:rsidR="00F92700">
        <w:t xml:space="preserve"> sein</w:t>
      </w:r>
      <w:r>
        <w:t xml:space="preserve">. </w:t>
      </w:r>
    </w:p>
    <w:p w:rsidR="000A504C" w:rsidRDefault="000A504C" w:rsidP="00335B5F">
      <w:pPr>
        <w:pStyle w:val="-OlWIRberschrift1-"/>
        <w:numPr>
          <w:ilvl w:val="0"/>
          <w:numId w:val="0"/>
        </w:numPr>
        <w:ind w:left="397" w:hanging="397"/>
      </w:pPr>
      <w:bookmarkStart w:id="3" w:name="_Toc167700164"/>
      <w:bookmarkStart w:id="4" w:name="_Toc167700221"/>
      <w:r>
        <w:t>Literatur</w:t>
      </w:r>
      <w:bookmarkEnd w:id="3"/>
      <w:bookmarkEnd w:id="4"/>
    </w:p>
    <w:p w:rsidR="00313741" w:rsidRDefault="00A35B16" w:rsidP="00E303F3">
      <w:pPr>
        <w:pStyle w:val="-DissLiteratureintrag-"/>
      </w:pPr>
      <w:r w:rsidRPr="00C4500F">
        <w:rPr>
          <w:i/>
        </w:rPr>
        <w:t>Palandt</w:t>
      </w:r>
      <w:r>
        <w:t>, BGB, 69. Aufl., München 2020.</w:t>
      </w:r>
    </w:p>
    <w:p w:rsidR="00A35B16" w:rsidRDefault="00A35B16" w:rsidP="00E303F3">
      <w:pPr>
        <w:pStyle w:val="-DissLiteratureintrag-"/>
      </w:pPr>
      <w:r w:rsidRPr="00EC7C3E">
        <w:rPr>
          <w:i/>
        </w:rPr>
        <w:t>Köhler/</w:t>
      </w:r>
      <w:proofErr w:type="spellStart"/>
      <w:r w:rsidRPr="00EC7C3E">
        <w:rPr>
          <w:i/>
        </w:rPr>
        <w:t>Bornkamm</w:t>
      </w:r>
      <w:proofErr w:type="spellEnd"/>
      <w:r w:rsidRPr="00EC7C3E">
        <w:rPr>
          <w:i/>
        </w:rPr>
        <w:t>/Feddersen,</w:t>
      </w:r>
      <w:r>
        <w:t xml:space="preserve"> UWG, 38. Aufl., München 2020.</w:t>
      </w:r>
    </w:p>
    <w:sectPr w:rsidR="00A35B16" w:rsidSect="00922F26">
      <w:headerReference w:type="even" r:id="rId9"/>
      <w:headerReference w:type="default" r:id="rId10"/>
      <w:footerReference w:type="even" r:id="rId11"/>
      <w:footerReference w:type="default" r:id="rId12"/>
      <w:footerReference w:type="first" r:id="rId13"/>
      <w:type w:val="oddPage"/>
      <w:pgSz w:w="11906" w:h="16838" w:code="9"/>
      <w:pgMar w:top="1814" w:right="1304" w:bottom="1191" w:left="1985" w:header="964" w:footer="45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49BD" w:rsidRDefault="000349BD">
      <w:r>
        <w:separator/>
      </w:r>
    </w:p>
  </w:endnote>
  <w:endnote w:type="continuationSeparator" w:id="0">
    <w:p w:rsidR="000349BD" w:rsidRDefault="00034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Swis721 Ex BT">
    <w:altName w:val="Arial"/>
    <w:charset w:val="00"/>
    <w:family w:val="swiss"/>
    <w:pitch w:val="variable"/>
    <w:sig w:usb0="00000087" w:usb1="00000000" w:usb2="00000000" w:usb3="00000000" w:csb0="0000001B" w:csb1="00000000"/>
  </w:font>
  <w:font w:name="IowanOldSt BT">
    <w:altName w:val="Georgia"/>
    <w:charset w:val="00"/>
    <w:family w:val="roman"/>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Swis721 BT">
    <w:charset w:val="00"/>
    <w:family w:val="swiss"/>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4C15" w:rsidRDefault="005F4C15">
    <w:pPr>
      <w:pStyle w:val="Fuzeile"/>
    </w:pPr>
    <w:r>
      <w:rPr>
        <w:rStyle w:val="Seitenzahl"/>
      </w:rPr>
      <w:fldChar w:fldCharType="begin"/>
    </w:r>
    <w:r>
      <w:rPr>
        <w:rStyle w:val="Seitenzahl"/>
      </w:rPr>
      <w:instrText xml:space="preserve"> PAGE </w:instrText>
    </w:r>
    <w:r>
      <w:rPr>
        <w:rStyle w:val="Seitenzahl"/>
      </w:rPr>
      <w:fldChar w:fldCharType="separate"/>
    </w:r>
    <w:r w:rsidR="004A297F">
      <w:rPr>
        <w:rStyle w:val="Seitenzahl"/>
        <w:noProof/>
      </w:rPr>
      <w:t>6</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4C15" w:rsidRDefault="005F4C15">
    <w:pPr>
      <w:pStyle w:val="Fuzeile"/>
      <w:framePr w:wrap="around" w:vAnchor="text" w:hAnchor="margin" w:xAlign="outside" w:y="1"/>
      <w:rPr>
        <w:rStyle w:val="Seitenzahl"/>
      </w:rPr>
    </w:pPr>
    <w:r>
      <w:rPr>
        <w:rStyle w:val="Seitenzahl"/>
      </w:rPr>
      <w:fldChar w:fldCharType="begin"/>
    </w:r>
    <w:r>
      <w:rPr>
        <w:rStyle w:val="Seitenzahl"/>
      </w:rPr>
      <w:instrText xml:space="preserve">PAGE  </w:instrText>
    </w:r>
    <w:r>
      <w:rPr>
        <w:rStyle w:val="Seitenzahl"/>
      </w:rPr>
      <w:fldChar w:fldCharType="separate"/>
    </w:r>
    <w:r w:rsidR="004A297F">
      <w:rPr>
        <w:rStyle w:val="Seitenzahl"/>
        <w:noProof/>
      </w:rPr>
      <w:t>7</w:t>
    </w:r>
    <w:r>
      <w:rPr>
        <w:rStyle w:val="Seitenzahl"/>
      </w:rPr>
      <w:fldChar w:fldCharType="end"/>
    </w:r>
  </w:p>
  <w:p w:rsidR="005F4C15" w:rsidRDefault="005F4C15" w:rsidP="00D5356D">
    <w:pPr>
      <w:pStyle w:val="Fuzeile"/>
      <w:tabs>
        <w:tab w:val="right" w:pos="8505"/>
      </w:tabs>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4C15" w:rsidRDefault="005F4C15" w:rsidP="00EC37BB">
    <w:pPr>
      <w:pStyle w:val="Fuzeile"/>
      <w:jc w:val="right"/>
    </w:pPr>
    <w:r>
      <w:rPr>
        <w:rStyle w:val="Seitenzahl"/>
      </w:rPr>
      <w:fldChar w:fldCharType="begin"/>
    </w:r>
    <w:r>
      <w:rPr>
        <w:rStyle w:val="Seitenzahl"/>
      </w:rPr>
      <w:instrText xml:space="preserve"> PAGE </w:instrText>
    </w:r>
    <w:r>
      <w:rPr>
        <w:rStyle w:val="Seitenzahl"/>
      </w:rPr>
      <w:fldChar w:fldCharType="separate"/>
    </w:r>
    <w:r w:rsidR="004A297F">
      <w:rPr>
        <w:rStyle w:val="Seitenzahl"/>
        <w:noProof/>
      </w:rPr>
      <w:t>1</w:t>
    </w:r>
    <w:r>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49BD" w:rsidRDefault="000349BD">
      <w:r>
        <w:separator/>
      </w:r>
    </w:p>
  </w:footnote>
  <w:footnote w:type="continuationSeparator" w:id="0">
    <w:p w:rsidR="000349BD" w:rsidRDefault="000349BD">
      <w:r>
        <w:continuationSeparator/>
      </w:r>
    </w:p>
  </w:footnote>
  <w:footnote w:id="1">
    <w:p w:rsidR="000550C1" w:rsidRDefault="000550C1">
      <w:pPr>
        <w:pStyle w:val="Funotentext"/>
      </w:pPr>
      <w:r>
        <w:rPr>
          <w:rStyle w:val="Funotenzeichen"/>
        </w:rPr>
        <w:footnoteRef/>
      </w:r>
      <w:r>
        <w:t xml:space="preserve"> </w:t>
      </w:r>
      <w:r w:rsidR="00C4500F">
        <w:t>EU-Technologie-Transfer-</w:t>
      </w:r>
      <w:r w:rsidRPr="000550C1">
        <w:t>VO</w:t>
      </w:r>
      <w:r w:rsidR="00C4500F">
        <w:t>, Verordnung (EU) 316/2014</w:t>
      </w:r>
      <w:r>
        <w:t>.</w:t>
      </w:r>
    </w:p>
  </w:footnote>
  <w:footnote w:id="2">
    <w:p w:rsidR="000550C1" w:rsidRDefault="000550C1">
      <w:pPr>
        <w:pStyle w:val="Funotentext"/>
      </w:pPr>
      <w:r>
        <w:rPr>
          <w:rStyle w:val="Funotenzeichen"/>
        </w:rPr>
        <w:footnoteRef/>
      </w:r>
      <w:r>
        <w:t xml:space="preserve"> </w:t>
      </w:r>
      <w:r w:rsidRPr="000550C1">
        <w:t>Verordnung (EU) Nr. 1217/2010</w:t>
      </w:r>
      <w:r>
        <w:t>.</w:t>
      </w:r>
    </w:p>
  </w:footnote>
  <w:footnote w:id="3">
    <w:p w:rsidR="000550C1" w:rsidRDefault="000550C1">
      <w:pPr>
        <w:pStyle w:val="Funotentext"/>
      </w:pPr>
      <w:r>
        <w:rPr>
          <w:rStyle w:val="Funotenzeichen"/>
        </w:rPr>
        <w:footnoteRef/>
      </w:r>
      <w:r>
        <w:t xml:space="preserve"> </w:t>
      </w:r>
      <w:r w:rsidRPr="000550C1">
        <w:t>Richtlinie (EU) 2016/943</w:t>
      </w:r>
      <w:r>
        <w:t>.</w:t>
      </w:r>
    </w:p>
  </w:footnote>
  <w:footnote w:id="4">
    <w:p w:rsidR="000550C1" w:rsidRDefault="000550C1">
      <w:pPr>
        <w:pStyle w:val="Funotentext"/>
      </w:pPr>
      <w:r>
        <w:rPr>
          <w:rStyle w:val="Funotenzeichen"/>
        </w:rPr>
        <w:footnoteRef/>
      </w:r>
      <w:r>
        <w:t xml:space="preserve"> </w:t>
      </w:r>
      <w:r w:rsidR="00C4500F">
        <w:t>Richtlinie (EU) 2019/1</w:t>
      </w:r>
      <w:r w:rsidRPr="000550C1">
        <w:t>937</w:t>
      </w:r>
      <w:r>
        <w:t>.</w:t>
      </w:r>
    </w:p>
  </w:footnote>
  <w:footnote w:id="5">
    <w:p w:rsidR="000550C1" w:rsidRDefault="000550C1">
      <w:pPr>
        <w:pStyle w:val="Funotentext"/>
      </w:pPr>
      <w:r>
        <w:rPr>
          <w:rStyle w:val="Funotenzeichen"/>
        </w:rPr>
        <w:footnoteRef/>
      </w:r>
      <w:r>
        <w:t xml:space="preserve"> </w:t>
      </w:r>
      <w:r w:rsidR="00C4500F">
        <w:t xml:space="preserve">Grüneberg in Palandt, BGB, </w:t>
      </w:r>
      <w:r w:rsidRPr="000550C1">
        <w:t xml:space="preserve">§ 307 </w:t>
      </w:r>
      <w:proofErr w:type="spellStart"/>
      <w:r w:rsidRPr="000550C1">
        <w:t>Rn</w:t>
      </w:r>
      <w:proofErr w:type="spellEnd"/>
      <w:r w:rsidRPr="000550C1">
        <w:t>. 41 und 44</w:t>
      </w:r>
      <w:r>
        <w:t>.</w:t>
      </w:r>
    </w:p>
  </w:footnote>
  <w:footnote w:id="6">
    <w:p w:rsidR="001375FA" w:rsidRDefault="001375FA">
      <w:pPr>
        <w:pStyle w:val="Funotentext"/>
      </w:pPr>
      <w:r>
        <w:rPr>
          <w:rStyle w:val="Funotenzeichen"/>
        </w:rPr>
        <w:footnoteRef/>
      </w:r>
      <w:r>
        <w:t xml:space="preserve"> </w:t>
      </w:r>
      <w:r w:rsidRPr="001375FA">
        <w:t>Köhler/</w:t>
      </w:r>
      <w:proofErr w:type="spellStart"/>
      <w:r w:rsidRPr="001375FA">
        <w:t>Bornkamm</w:t>
      </w:r>
      <w:proofErr w:type="spellEnd"/>
      <w:r w:rsidRPr="001375FA">
        <w:t xml:space="preserve">/Feddersen, UWG, § 4 </w:t>
      </w:r>
      <w:proofErr w:type="spellStart"/>
      <w:r w:rsidRPr="001375FA">
        <w:t>Rn</w:t>
      </w:r>
      <w:proofErr w:type="spellEnd"/>
      <w:r w:rsidRPr="001375FA">
        <w:t>. 33.</w:t>
      </w:r>
    </w:p>
  </w:footnote>
  <w:footnote w:id="7">
    <w:p w:rsidR="001375FA" w:rsidRDefault="001375FA">
      <w:pPr>
        <w:pStyle w:val="Funotentext"/>
      </w:pPr>
      <w:r>
        <w:rPr>
          <w:rStyle w:val="Funotenzeichen"/>
        </w:rPr>
        <w:footnoteRef/>
      </w:r>
      <w:r>
        <w:t xml:space="preserve"> </w:t>
      </w:r>
      <w:r w:rsidRPr="001375FA">
        <w:t>https://activemind.de/magazin/datenschutz-ms-office</w:t>
      </w:r>
      <w:r>
        <w:t>.</w:t>
      </w:r>
    </w:p>
  </w:footnote>
  <w:footnote w:id="8">
    <w:p w:rsidR="000D1833" w:rsidRDefault="000D1833" w:rsidP="000D1833">
      <w:pPr>
        <w:pStyle w:val="Funotentext"/>
      </w:pPr>
      <w:r>
        <w:rPr>
          <w:rStyle w:val="Funotenzeichen"/>
        </w:rPr>
        <w:footnoteRef/>
      </w:r>
      <w:r>
        <w:t xml:space="preserve"> </w:t>
      </w:r>
      <w:r w:rsidR="00C4500F">
        <w:t>BT-</w:t>
      </w:r>
      <w:proofErr w:type="spellStart"/>
      <w:r w:rsidR="00C4500F">
        <w:t>Drs</w:t>
      </w:r>
      <w:proofErr w:type="spellEnd"/>
      <w:r w:rsidR="00C4500F">
        <w:t xml:space="preserve">. 18/2742, S. 25, dort § 3; </w:t>
      </w:r>
      <w:r>
        <w:t>Köhler/</w:t>
      </w:r>
      <w:proofErr w:type="spellStart"/>
      <w:r>
        <w:t>Born</w:t>
      </w:r>
      <w:r w:rsidR="00D2399B">
        <w:t>k</w:t>
      </w:r>
      <w:r>
        <w:t>amm</w:t>
      </w:r>
      <w:proofErr w:type="spellEnd"/>
      <w:r>
        <w:t xml:space="preserve">/Feddersen, UWG, Vor § 1 </w:t>
      </w:r>
      <w:proofErr w:type="spellStart"/>
      <w:r>
        <w:t>Rn</w:t>
      </w:r>
      <w:proofErr w:type="spellEnd"/>
      <w:r>
        <w:t xml:space="preserve">. 73. </w:t>
      </w:r>
    </w:p>
  </w:footnote>
  <w:footnote w:id="9">
    <w:p w:rsidR="000D1833" w:rsidRDefault="000D1833">
      <w:pPr>
        <w:pStyle w:val="Funotentext"/>
      </w:pPr>
      <w:r>
        <w:rPr>
          <w:rStyle w:val="Funotenzeichen"/>
        </w:rPr>
        <w:footnoteRef/>
      </w:r>
      <w:r>
        <w:t xml:space="preserve"> </w:t>
      </w:r>
      <w:r w:rsidRPr="000D1833">
        <w:t>Köhler/</w:t>
      </w:r>
      <w:proofErr w:type="spellStart"/>
      <w:r w:rsidRPr="000D1833">
        <w:t>Born</w:t>
      </w:r>
      <w:r w:rsidR="00D2399B">
        <w:t>k</w:t>
      </w:r>
      <w:r w:rsidRPr="000D1833">
        <w:t>amm</w:t>
      </w:r>
      <w:proofErr w:type="spellEnd"/>
      <w:r w:rsidRPr="000D1833">
        <w:t xml:space="preserve">/Feddersen, UWG, § </w:t>
      </w:r>
      <w:r>
        <w:t>3</w:t>
      </w:r>
      <w:r w:rsidRPr="000D1833">
        <w:t xml:space="preserve"> </w:t>
      </w:r>
      <w:proofErr w:type="spellStart"/>
      <w:r w:rsidRPr="000D1833">
        <w:t>Rn</w:t>
      </w:r>
      <w:proofErr w:type="spellEnd"/>
      <w:r w:rsidRPr="000D1833">
        <w:t xml:space="preserve">. </w:t>
      </w:r>
      <w:r>
        <w:t>25</w:t>
      </w:r>
      <w:r w:rsidRPr="000D1833">
        <w:t>.</w:t>
      </w:r>
    </w:p>
  </w:footnote>
  <w:footnote w:id="10">
    <w:p w:rsidR="00D0438D" w:rsidRDefault="00D0438D">
      <w:pPr>
        <w:pStyle w:val="Funotentext"/>
      </w:pPr>
      <w:r>
        <w:rPr>
          <w:rStyle w:val="Funotenzeichen"/>
        </w:rPr>
        <w:footnoteRef/>
      </w:r>
      <w:r>
        <w:t xml:space="preserve"> </w:t>
      </w:r>
      <w:r w:rsidRPr="00D0438D">
        <w:t>Köhler/</w:t>
      </w:r>
      <w:proofErr w:type="spellStart"/>
      <w:r w:rsidRPr="00D0438D">
        <w:t>Born</w:t>
      </w:r>
      <w:r w:rsidR="00D2399B">
        <w:t>k</w:t>
      </w:r>
      <w:r w:rsidRPr="00D0438D">
        <w:t>amm</w:t>
      </w:r>
      <w:proofErr w:type="spellEnd"/>
      <w:r w:rsidRPr="00D0438D">
        <w:t xml:space="preserve">/Feddersen, UWG, § 3 </w:t>
      </w:r>
      <w:proofErr w:type="spellStart"/>
      <w:r w:rsidRPr="00D0438D">
        <w:t>Rn</w:t>
      </w:r>
      <w:proofErr w:type="spellEnd"/>
      <w:r w:rsidRPr="00D0438D">
        <w:t xml:space="preserve">. </w:t>
      </w:r>
      <w:r>
        <w:t>38</w:t>
      </w:r>
      <w:r w:rsidRPr="00D0438D">
        <w:t>.</w:t>
      </w:r>
    </w:p>
  </w:footnote>
  <w:footnote w:id="11">
    <w:p w:rsidR="00D0438D" w:rsidRDefault="00D0438D">
      <w:pPr>
        <w:pStyle w:val="Funotentext"/>
      </w:pPr>
      <w:r>
        <w:rPr>
          <w:rStyle w:val="Funotenzeichen"/>
        </w:rPr>
        <w:footnoteRef/>
      </w:r>
      <w:r>
        <w:t xml:space="preserve"> Verordnung (EU) 330/2016.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4C15" w:rsidRDefault="00A22207" w:rsidP="00DC2BC2">
    <w:pPr>
      <w:pStyle w:val="-OlWIRKopfzeile-"/>
    </w:pPr>
    <w:r>
      <w:fldChar w:fldCharType="begin"/>
    </w:r>
    <w:r>
      <w:instrText xml:space="preserve"> STYLEREF  "- OlWIR Beitragsautoren -"  \* MERGEFORMAT </w:instrText>
    </w:r>
    <w:r>
      <w:fldChar w:fldCharType="separate"/>
    </w:r>
    <w:r w:rsidR="004A297F">
      <w:rPr>
        <w:noProof/>
      </w:rPr>
      <w:t>Rechtsanwalt Dr. Oliver M. Habel</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4C15" w:rsidRPr="000A5E2E" w:rsidRDefault="005F4C15" w:rsidP="00DC2BC2">
    <w:pPr>
      <w:pStyle w:val="-OlWIRKopfzeile-"/>
      <w:jc w:val="right"/>
    </w:pPr>
    <w:r>
      <w:t>Tagungsbandtitel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8560F14"/>
    <w:lvl w:ilvl="0">
      <w:start w:val="1"/>
      <w:numFmt w:val="decimal"/>
      <w:pStyle w:val="Listennummer5"/>
      <w:lvlText w:val="%1."/>
      <w:lvlJc w:val="left"/>
      <w:pPr>
        <w:tabs>
          <w:tab w:val="num" w:pos="1492"/>
        </w:tabs>
        <w:ind w:left="1492" w:hanging="360"/>
      </w:pPr>
    </w:lvl>
  </w:abstractNum>
  <w:abstractNum w:abstractNumId="1">
    <w:nsid w:val="FFFFFF7D"/>
    <w:multiLevelType w:val="singleLevel"/>
    <w:tmpl w:val="4BFEC0B6"/>
    <w:lvl w:ilvl="0">
      <w:start w:val="1"/>
      <w:numFmt w:val="decimal"/>
      <w:pStyle w:val="Listennummer4"/>
      <w:lvlText w:val="%1."/>
      <w:lvlJc w:val="left"/>
      <w:pPr>
        <w:tabs>
          <w:tab w:val="num" w:pos="1209"/>
        </w:tabs>
        <w:ind w:left="1209" w:hanging="360"/>
      </w:pPr>
    </w:lvl>
  </w:abstractNum>
  <w:abstractNum w:abstractNumId="2">
    <w:nsid w:val="FFFFFF7E"/>
    <w:multiLevelType w:val="singleLevel"/>
    <w:tmpl w:val="563A5252"/>
    <w:lvl w:ilvl="0">
      <w:start w:val="1"/>
      <w:numFmt w:val="decimal"/>
      <w:pStyle w:val="Listennummer3"/>
      <w:lvlText w:val="%1."/>
      <w:lvlJc w:val="left"/>
      <w:pPr>
        <w:tabs>
          <w:tab w:val="num" w:pos="926"/>
        </w:tabs>
        <w:ind w:left="926" w:hanging="360"/>
      </w:pPr>
    </w:lvl>
  </w:abstractNum>
  <w:abstractNum w:abstractNumId="3">
    <w:nsid w:val="FFFFFF7F"/>
    <w:multiLevelType w:val="singleLevel"/>
    <w:tmpl w:val="D4229F0A"/>
    <w:lvl w:ilvl="0">
      <w:start w:val="1"/>
      <w:numFmt w:val="decimal"/>
      <w:pStyle w:val="Listennummer2"/>
      <w:lvlText w:val="%1."/>
      <w:lvlJc w:val="left"/>
      <w:pPr>
        <w:tabs>
          <w:tab w:val="num" w:pos="643"/>
        </w:tabs>
        <w:ind w:left="643" w:hanging="360"/>
      </w:pPr>
    </w:lvl>
  </w:abstractNum>
  <w:abstractNum w:abstractNumId="4">
    <w:nsid w:val="FFFFFF88"/>
    <w:multiLevelType w:val="singleLevel"/>
    <w:tmpl w:val="5A84F918"/>
    <w:lvl w:ilvl="0">
      <w:start w:val="1"/>
      <w:numFmt w:val="decimal"/>
      <w:pStyle w:val="Listennummer"/>
      <w:lvlText w:val="%1."/>
      <w:lvlJc w:val="left"/>
      <w:pPr>
        <w:tabs>
          <w:tab w:val="num" w:pos="360"/>
        </w:tabs>
        <w:ind w:left="360" w:hanging="360"/>
      </w:pPr>
    </w:lvl>
  </w:abstractNum>
  <w:abstractNum w:abstractNumId="5">
    <w:nsid w:val="00000001"/>
    <w:multiLevelType w:val="multilevel"/>
    <w:tmpl w:val="00000001"/>
    <w:name w:val="Nummerierung 1"/>
    <w:lvl w:ilvl="0">
      <w:start w:val="1"/>
      <w:numFmt w:val="decimal"/>
      <w:lvlText w:val="%1."/>
      <w:lvlJc w:val="left"/>
      <w:pPr>
        <w:tabs>
          <w:tab w:val="num" w:pos="283"/>
        </w:tabs>
      </w:pPr>
    </w:lvl>
    <w:lvl w:ilvl="1">
      <w:start w:val="1"/>
      <w:numFmt w:val="decimal"/>
      <w:lvlText w:val="%2."/>
      <w:lvlJc w:val="left"/>
      <w:pPr>
        <w:tabs>
          <w:tab w:val="num" w:pos="567"/>
        </w:tabs>
      </w:pPr>
    </w:lvl>
    <w:lvl w:ilvl="2">
      <w:start w:val="1"/>
      <w:numFmt w:val="decimal"/>
      <w:lvlText w:val="%3."/>
      <w:lvlJc w:val="left"/>
      <w:pPr>
        <w:tabs>
          <w:tab w:val="num" w:pos="850"/>
        </w:tabs>
      </w:pPr>
    </w:lvl>
    <w:lvl w:ilvl="3">
      <w:start w:val="1"/>
      <w:numFmt w:val="decimal"/>
      <w:lvlText w:val="%4."/>
      <w:lvlJc w:val="left"/>
      <w:pPr>
        <w:tabs>
          <w:tab w:val="num" w:pos="1134"/>
        </w:tabs>
      </w:pPr>
    </w:lvl>
    <w:lvl w:ilvl="4">
      <w:start w:val="1"/>
      <w:numFmt w:val="decimal"/>
      <w:lvlText w:val="%5."/>
      <w:lvlJc w:val="left"/>
      <w:pPr>
        <w:tabs>
          <w:tab w:val="num" w:pos="1417"/>
        </w:tabs>
      </w:pPr>
    </w:lvl>
    <w:lvl w:ilvl="5">
      <w:start w:val="1"/>
      <w:numFmt w:val="decimal"/>
      <w:lvlText w:val="%6."/>
      <w:lvlJc w:val="left"/>
      <w:pPr>
        <w:tabs>
          <w:tab w:val="num" w:pos="1701"/>
        </w:tabs>
      </w:pPr>
    </w:lvl>
    <w:lvl w:ilvl="6">
      <w:start w:val="1"/>
      <w:numFmt w:val="decimal"/>
      <w:lvlText w:val="%7."/>
      <w:lvlJc w:val="left"/>
      <w:pPr>
        <w:tabs>
          <w:tab w:val="num" w:pos="1984"/>
        </w:tabs>
      </w:pPr>
    </w:lvl>
    <w:lvl w:ilvl="7">
      <w:start w:val="1"/>
      <w:numFmt w:val="decimal"/>
      <w:lvlText w:val="%8."/>
      <w:lvlJc w:val="left"/>
      <w:pPr>
        <w:tabs>
          <w:tab w:val="num" w:pos="2268"/>
        </w:tabs>
      </w:pPr>
    </w:lvl>
    <w:lvl w:ilvl="8">
      <w:start w:val="1"/>
      <w:numFmt w:val="decimal"/>
      <w:lvlText w:val="%9."/>
      <w:lvlJc w:val="left"/>
      <w:pPr>
        <w:tabs>
          <w:tab w:val="num" w:pos="2551"/>
        </w:tabs>
      </w:pPr>
    </w:lvl>
  </w:abstractNum>
  <w:abstractNum w:abstractNumId="6">
    <w:nsid w:val="1EC46984"/>
    <w:multiLevelType w:val="hybridMultilevel"/>
    <w:tmpl w:val="825C660E"/>
    <w:lvl w:ilvl="0" w:tplc="AE7AF316">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202850E0"/>
    <w:multiLevelType w:val="multilevel"/>
    <w:tmpl w:val="9C668982"/>
    <w:lvl w:ilvl="0">
      <w:start w:val="1"/>
      <w:numFmt w:val="bullet"/>
      <w:pStyle w:val="-OlWIRAufzhlung-"/>
      <w:lvlText w:val=""/>
      <w:lvlJc w:val="left"/>
      <w:pPr>
        <w:tabs>
          <w:tab w:val="num" w:pos="340"/>
        </w:tabs>
        <w:ind w:left="340" w:hanging="340"/>
      </w:pPr>
      <w:rPr>
        <w:rFonts w:ascii="Wingdings" w:hAnsi="Wingdings" w:hint="default"/>
        <w:sz w:val="24"/>
      </w:rPr>
    </w:lvl>
    <w:lvl w:ilvl="1">
      <w:start w:val="1"/>
      <w:numFmt w:val="bullet"/>
      <w:lvlText w:val=""/>
      <w:lvlJc w:val="left"/>
      <w:pPr>
        <w:tabs>
          <w:tab w:val="num" w:pos="680"/>
        </w:tabs>
        <w:ind w:left="680" w:hanging="340"/>
      </w:pPr>
      <w:rPr>
        <w:rFonts w:ascii="Wingdings" w:hAnsi="Wingdings" w:hint="default"/>
        <w:sz w:val="26"/>
      </w:rPr>
    </w:lvl>
    <w:lvl w:ilvl="2">
      <w:start w:val="1"/>
      <w:numFmt w:val="bullet"/>
      <w:lvlText w:val=""/>
      <w:lvlJc w:val="left"/>
      <w:pPr>
        <w:tabs>
          <w:tab w:val="num" w:pos="1021"/>
        </w:tabs>
        <w:ind w:left="1021" w:hanging="341"/>
      </w:pPr>
      <w:rPr>
        <w:rFonts w:ascii="Symbol" w:hAnsi="Symbol" w:hint="default"/>
        <w:sz w:val="24"/>
      </w:rPr>
    </w:lvl>
    <w:lvl w:ilvl="3">
      <w:start w:val="1"/>
      <w:numFmt w:val="bullet"/>
      <w:lvlText w:val="•"/>
      <w:lvlJc w:val="left"/>
      <w:pPr>
        <w:tabs>
          <w:tab w:val="num" w:pos="1247"/>
        </w:tabs>
        <w:ind w:left="1247" w:hanging="226"/>
      </w:pPr>
      <w:rPr>
        <w:rFonts w:ascii="Times New Roman" w:hAnsi="Times New Roman" w:cs="Times New Roman" w:hint="default"/>
      </w:rPr>
    </w:lvl>
    <w:lvl w:ilvl="4">
      <w:start w:val="1"/>
      <w:numFmt w:val="bullet"/>
      <w:lvlText w:val="-"/>
      <w:lvlJc w:val="left"/>
      <w:pPr>
        <w:tabs>
          <w:tab w:val="num" w:pos="1474"/>
        </w:tabs>
        <w:ind w:left="1474" w:hanging="227"/>
      </w:pPr>
      <w:rPr>
        <w:rFonts w:ascii="Times New Roman" w:hAnsi="Times New Roman" w:cs="Times New Roman" w:hint="default"/>
      </w:rPr>
    </w:lvl>
    <w:lvl w:ilvl="5">
      <w:start w:val="1"/>
      <w:numFmt w:val="bullet"/>
      <w:lvlText w:val=""/>
      <w:lvlJc w:val="left"/>
      <w:pPr>
        <w:tabs>
          <w:tab w:val="num" w:pos="1701"/>
        </w:tabs>
        <w:ind w:left="1701" w:hanging="227"/>
      </w:pPr>
      <w:rPr>
        <w:rFonts w:ascii="Symbol" w:hAnsi="Symbol" w:hint="default"/>
      </w:rPr>
    </w:lvl>
    <w:lvl w:ilvl="6">
      <w:start w:val="1"/>
      <w:numFmt w:val="bullet"/>
      <w:lvlText w:val=""/>
      <w:lvlJc w:val="left"/>
      <w:pPr>
        <w:tabs>
          <w:tab w:val="num" w:pos="1928"/>
        </w:tabs>
        <w:ind w:left="1928" w:hanging="227"/>
      </w:pPr>
      <w:rPr>
        <w:rFonts w:ascii="Symbol" w:hAnsi="Symbol" w:hint="default"/>
      </w:rPr>
    </w:lvl>
    <w:lvl w:ilvl="7">
      <w:start w:val="1"/>
      <w:numFmt w:val="bullet"/>
      <w:lvlText w:val=""/>
      <w:lvlJc w:val="left"/>
      <w:pPr>
        <w:tabs>
          <w:tab w:val="num" w:pos="360"/>
        </w:tabs>
        <w:ind w:left="360" w:hanging="360"/>
      </w:pPr>
      <w:rPr>
        <w:rFonts w:ascii="Symbol" w:hAnsi="Symbol" w:hint="default"/>
      </w:rPr>
    </w:lvl>
    <w:lvl w:ilvl="8">
      <w:start w:val="1"/>
      <w:numFmt w:val="decimal"/>
      <w:lvlText w:val="%1.%2.%3.%4.%5.%6.%7.%8.%9"/>
      <w:lvlJc w:val="left"/>
      <w:pPr>
        <w:tabs>
          <w:tab w:val="num" w:pos="2844"/>
        </w:tabs>
        <w:ind w:left="2844" w:hanging="1584"/>
      </w:pPr>
      <w:rPr>
        <w:rFonts w:hint="default"/>
      </w:rPr>
    </w:lvl>
  </w:abstractNum>
  <w:abstractNum w:abstractNumId="8">
    <w:nsid w:val="4A706725"/>
    <w:multiLevelType w:val="multilevel"/>
    <w:tmpl w:val="2F4AA988"/>
    <w:lvl w:ilvl="0">
      <w:start w:val="1"/>
      <w:numFmt w:val="upperRoman"/>
      <w:lvlText w:val="%1."/>
      <w:lvlJc w:val="left"/>
      <w:pPr>
        <w:tabs>
          <w:tab w:val="num" w:pos="454"/>
        </w:tabs>
        <w:ind w:left="454" w:hanging="454"/>
      </w:pPr>
      <w:rPr>
        <w:rFonts w:hint="default"/>
      </w:rPr>
    </w:lvl>
    <w:lvl w:ilvl="1">
      <w:start w:val="1"/>
      <w:numFmt w:val="decimal"/>
      <w:lvlText w:val="§ %2"/>
      <w:lvlJc w:val="left"/>
      <w:pPr>
        <w:tabs>
          <w:tab w:val="num" w:pos="454"/>
        </w:tabs>
        <w:ind w:left="454" w:hanging="454"/>
      </w:pPr>
      <w:rPr>
        <w:rFonts w:hint="default"/>
      </w:rPr>
    </w:lvl>
    <w:lvl w:ilvl="2">
      <w:start w:val="1"/>
      <w:numFmt w:val="upperLetter"/>
      <w:lvlText w:val="%3."/>
      <w:lvlJc w:val="left"/>
      <w:pPr>
        <w:tabs>
          <w:tab w:val="num" w:pos="454"/>
        </w:tabs>
        <w:ind w:left="454" w:hanging="454"/>
      </w:pPr>
      <w:rPr>
        <w:rFonts w:hint="default"/>
      </w:rPr>
    </w:lvl>
    <w:lvl w:ilvl="3">
      <w:start w:val="1"/>
      <w:numFmt w:val="upperRoman"/>
      <w:lvlText w:val="%4."/>
      <w:lvlJc w:val="left"/>
      <w:pPr>
        <w:tabs>
          <w:tab w:val="num" w:pos="454"/>
        </w:tabs>
        <w:ind w:left="454" w:hanging="454"/>
      </w:pPr>
      <w:rPr>
        <w:rFonts w:hint="default"/>
      </w:rPr>
    </w:lvl>
    <w:lvl w:ilvl="4">
      <w:start w:val="1"/>
      <w:numFmt w:val="decimal"/>
      <w:lvlText w:val="%5."/>
      <w:lvlJc w:val="left"/>
      <w:pPr>
        <w:tabs>
          <w:tab w:val="num" w:pos="454"/>
        </w:tabs>
        <w:ind w:left="454" w:hanging="454"/>
      </w:pPr>
      <w:rPr>
        <w:rFonts w:hint="default"/>
      </w:rPr>
    </w:lvl>
    <w:lvl w:ilvl="5">
      <w:start w:val="1"/>
      <w:numFmt w:val="lowerLetter"/>
      <w:pStyle w:val="-OlWIRberschrift6-"/>
      <w:lvlText w:val="%6)"/>
      <w:lvlJc w:val="left"/>
      <w:pPr>
        <w:tabs>
          <w:tab w:val="num" w:pos="709"/>
        </w:tabs>
        <w:ind w:left="709" w:hanging="709"/>
      </w:pPr>
      <w:rPr>
        <w:rFonts w:hint="default"/>
      </w:rPr>
    </w:lvl>
    <w:lvl w:ilvl="6">
      <w:start w:val="27"/>
      <w:numFmt w:val="lowerLetter"/>
      <w:lvlText w:val="(%7)"/>
      <w:lvlJc w:val="left"/>
      <w:pPr>
        <w:tabs>
          <w:tab w:val="num" w:pos="709"/>
        </w:tabs>
        <w:ind w:left="709" w:hanging="709"/>
      </w:pPr>
      <w:rPr>
        <w:rFonts w:hint="default"/>
      </w:rPr>
    </w:lvl>
    <w:lvl w:ilvl="7">
      <w:start w:val="1"/>
      <w:numFmt w:val="decimal"/>
      <w:lvlText w:val="%1.%2.%3.%4.%5.%6.%7.%8"/>
      <w:lvlJc w:val="left"/>
      <w:pPr>
        <w:tabs>
          <w:tab w:val="num" w:pos="709"/>
        </w:tabs>
        <w:ind w:left="709" w:hanging="709"/>
      </w:pPr>
      <w:rPr>
        <w:rFonts w:hint="default"/>
      </w:rPr>
    </w:lvl>
    <w:lvl w:ilvl="8">
      <w:start w:val="1"/>
      <w:numFmt w:val="decimal"/>
      <w:lvlText w:val="%1.%2.%3.%4.%5.%6.%7.%8.%9"/>
      <w:lvlJc w:val="left"/>
      <w:pPr>
        <w:tabs>
          <w:tab w:val="num" w:pos="2844"/>
        </w:tabs>
        <w:ind w:left="2844" w:hanging="1584"/>
      </w:pPr>
      <w:rPr>
        <w:rFonts w:hint="default"/>
      </w:rPr>
    </w:lvl>
  </w:abstractNum>
  <w:abstractNum w:abstractNumId="9">
    <w:nsid w:val="50010E2F"/>
    <w:multiLevelType w:val="hybridMultilevel"/>
    <w:tmpl w:val="81F2A0B4"/>
    <w:lvl w:ilvl="0" w:tplc="9CB8C972">
      <w:start w:val="1"/>
      <w:numFmt w:val="decimal"/>
      <w:pStyle w:val="-OlWIRAbbBeschriftung-"/>
      <w:lvlText w:val="Abb. %1"/>
      <w:lvlJc w:val="left"/>
      <w:pPr>
        <w:tabs>
          <w:tab w:val="num" w:pos="737"/>
        </w:tabs>
        <w:ind w:left="737" w:hanging="737"/>
      </w:pPr>
      <w:rPr>
        <w:rFonts w:ascii="Trebuchet MS" w:hAnsi="Trebuchet MS" w:hint="default"/>
        <w:b w:val="0"/>
        <w:i/>
        <w:color w:val="auto"/>
        <w:sz w:val="22"/>
        <w:szCs w:val="18"/>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nsid w:val="55125ECA"/>
    <w:multiLevelType w:val="hybridMultilevel"/>
    <w:tmpl w:val="56E64A1A"/>
    <w:lvl w:ilvl="0" w:tplc="AE7AF316">
      <w:start w:val="1"/>
      <w:numFmt w:val="bullet"/>
      <w:lvlText w:val=""/>
      <w:lvlJc w:val="left"/>
      <w:pPr>
        <w:ind w:left="1065" w:hanging="360"/>
      </w:pPr>
      <w:rPr>
        <w:rFonts w:ascii="Symbol" w:hAnsi="Symbol" w:hint="default"/>
      </w:rPr>
    </w:lvl>
    <w:lvl w:ilvl="1" w:tplc="04070003">
      <w:start w:val="1"/>
      <w:numFmt w:val="bullet"/>
      <w:lvlText w:val="o"/>
      <w:lvlJc w:val="left"/>
      <w:pPr>
        <w:ind w:left="1785" w:hanging="360"/>
      </w:pPr>
      <w:rPr>
        <w:rFonts w:ascii="Courier New" w:hAnsi="Courier New" w:cs="Courier New" w:hint="default"/>
      </w:rPr>
    </w:lvl>
    <w:lvl w:ilvl="2" w:tplc="04070005" w:tentative="1">
      <w:start w:val="1"/>
      <w:numFmt w:val="bullet"/>
      <w:lvlText w:val=""/>
      <w:lvlJc w:val="left"/>
      <w:pPr>
        <w:ind w:left="2505" w:hanging="360"/>
      </w:pPr>
      <w:rPr>
        <w:rFonts w:ascii="Wingdings" w:hAnsi="Wingdings" w:hint="default"/>
      </w:rPr>
    </w:lvl>
    <w:lvl w:ilvl="3" w:tplc="04070001" w:tentative="1">
      <w:start w:val="1"/>
      <w:numFmt w:val="bullet"/>
      <w:lvlText w:val=""/>
      <w:lvlJc w:val="left"/>
      <w:pPr>
        <w:ind w:left="3225" w:hanging="360"/>
      </w:pPr>
      <w:rPr>
        <w:rFonts w:ascii="Symbol" w:hAnsi="Symbol" w:hint="default"/>
      </w:rPr>
    </w:lvl>
    <w:lvl w:ilvl="4" w:tplc="04070003" w:tentative="1">
      <w:start w:val="1"/>
      <w:numFmt w:val="bullet"/>
      <w:lvlText w:val="o"/>
      <w:lvlJc w:val="left"/>
      <w:pPr>
        <w:ind w:left="3945" w:hanging="360"/>
      </w:pPr>
      <w:rPr>
        <w:rFonts w:ascii="Courier New" w:hAnsi="Courier New" w:cs="Courier New" w:hint="default"/>
      </w:rPr>
    </w:lvl>
    <w:lvl w:ilvl="5" w:tplc="04070005" w:tentative="1">
      <w:start w:val="1"/>
      <w:numFmt w:val="bullet"/>
      <w:lvlText w:val=""/>
      <w:lvlJc w:val="left"/>
      <w:pPr>
        <w:ind w:left="4665" w:hanging="360"/>
      </w:pPr>
      <w:rPr>
        <w:rFonts w:ascii="Wingdings" w:hAnsi="Wingdings" w:hint="default"/>
      </w:rPr>
    </w:lvl>
    <w:lvl w:ilvl="6" w:tplc="04070001" w:tentative="1">
      <w:start w:val="1"/>
      <w:numFmt w:val="bullet"/>
      <w:lvlText w:val=""/>
      <w:lvlJc w:val="left"/>
      <w:pPr>
        <w:ind w:left="5385" w:hanging="360"/>
      </w:pPr>
      <w:rPr>
        <w:rFonts w:ascii="Symbol" w:hAnsi="Symbol" w:hint="default"/>
      </w:rPr>
    </w:lvl>
    <w:lvl w:ilvl="7" w:tplc="04070003" w:tentative="1">
      <w:start w:val="1"/>
      <w:numFmt w:val="bullet"/>
      <w:lvlText w:val="o"/>
      <w:lvlJc w:val="left"/>
      <w:pPr>
        <w:ind w:left="6105" w:hanging="360"/>
      </w:pPr>
      <w:rPr>
        <w:rFonts w:ascii="Courier New" w:hAnsi="Courier New" w:cs="Courier New" w:hint="default"/>
      </w:rPr>
    </w:lvl>
    <w:lvl w:ilvl="8" w:tplc="04070005" w:tentative="1">
      <w:start w:val="1"/>
      <w:numFmt w:val="bullet"/>
      <w:lvlText w:val=""/>
      <w:lvlJc w:val="left"/>
      <w:pPr>
        <w:ind w:left="6825" w:hanging="360"/>
      </w:pPr>
      <w:rPr>
        <w:rFonts w:ascii="Wingdings" w:hAnsi="Wingdings" w:hint="default"/>
      </w:rPr>
    </w:lvl>
  </w:abstractNum>
  <w:abstractNum w:abstractNumId="11">
    <w:nsid w:val="6C9B5296"/>
    <w:multiLevelType w:val="hybridMultilevel"/>
    <w:tmpl w:val="81B8FB08"/>
    <w:lvl w:ilvl="0" w:tplc="1326F14C">
      <w:numFmt w:val="bullet"/>
      <w:lvlText w:val="–"/>
      <w:lvlJc w:val="left"/>
      <w:pPr>
        <w:ind w:left="1069" w:hanging="360"/>
      </w:pPr>
      <w:rPr>
        <w:rFonts w:ascii="Times New Roman" w:eastAsia="Times New Roman" w:hAnsi="Times New Roman" w:cs="Times New Roman" w:hint="default"/>
      </w:rPr>
    </w:lvl>
    <w:lvl w:ilvl="1" w:tplc="04070003" w:tentative="1">
      <w:start w:val="1"/>
      <w:numFmt w:val="bullet"/>
      <w:lvlText w:val="o"/>
      <w:lvlJc w:val="left"/>
      <w:pPr>
        <w:ind w:left="1789" w:hanging="360"/>
      </w:pPr>
      <w:rPr>
        <w:rFonts w:ascii="Courier New" w:hAnsi="Courier New" w:cs="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Courier New" w:hint="default"/>
      </w:rPr>
    </w:lvl>
    <w:lvl w:ilvl="8" w:tplc="04070005" w:tentative="1">
      <w:start w:val="1"/>
      <w:numFmt w:val="bullet"/>
      <w:lvlText w:val=""/>
      <w:lvlJc w:val="left"/>
      <w:pPr>
        <w:ind w:left="6829" w:hanging="360"/>
      </w:pPr>
      <w:rPr>
        <w:rFonts w:ascii="Wingdings" w:hAnsi="Wingdings" w:hint="default"/>
      </w:rPr>
    </w:lvl>
  </w:abstractNum>
  <w:abstractNum w:abstractNumId="12">
    <w:nsid w:val="6CC16CEE"/>
    <w:multiLevelType w:val="multilevel"/>
    <w:tmpl w:val="B9A2EB40"/>
    <w:lvl w:ilvl="0">
      <w:start w:val="1"/>
      <w:numFmt w:val="none"/>
      <w:pStyle w:val="-OlWIRBeitragstitel-"/>
      <w:lvlText w:val=""/>
      <w:lvlJc w:val="left"/>
      <w:pPr>
        <w:tabs>
          <w:tab w:val="num" w:pos="1134"/>
        </w:tabs>
        <w:ind w:left="1134" w:firstLine="0"/>
      </w:pPr>
      <w:rPr>
        <w:rFonts w:hint="default"/>
      </w:rPr>
    </w:lvl>
    <w:lvl w:ilvl="1">
      <w:start w:val="1"/>
      <w:numFmt w:val="decimal"/>
      <w:pStyle w:val="-OlWIRberschrift1-"/>
      <w:lvlText w:val="%2%1"/>
      <w:lvlJc w:val="left"/>
      <w:pPr>
        <w:tabs>
          <w:tab w:val="num" w:pos="397"/>
        </w:tabs>
        <w:ind w:left="397" w:hanging="397"/>
      </w:pPr>
      <w:rPr>
        <w:rFonts w:hint="default"/>
      </w:rPr>
    </w:lvl>
    <w:lvl w:ilvl="2">
      <w:start w:val="1"/>
      <w:numFmt w:val="decimal"/>
      <w:pStyle w:val="-OlWIRberschrift2-"/>
      <w:lvlText w:val="%1%2.%3"/>
      <w:lvlJc w:val="left"/>
      <w:pPr>
        <w:tabs>
          <w:tab w:val="num" w:pos="510"/>
        </w:tabs>
        <w:ind w:left="510" w:hanging="510"/>
      </w:pPr>
      <w:rPr>
        <w:rFonts w:hint="default"/>
      </w:rPr>
    </w:lvl>
    <w:lvl w:ilvl="3">
      <w:start w:val="1"/>
      <w:numFmt w:val="decimal"/>
      <w:pStyle w:val="-OlWIRberschrift3-"/>
      <w:lvlText w:val="%1%2.%3.%4"/>
      <w:lvlJc w:val="left"/>
      <w:pPr>
        <w:tabs>
          <w:tab w:val="num" w:pos="680"/>
        </w:tabs>
        <w:ind w:left="680" w:hanging="680"/>
      </w:pPr>
      <w:rPr>
        <w:rFonts w:hint="default"/>
      </w:rPr>
    </w:lvl>
    <w:lvl w:ilvl="4">
      <w:start w:val="1"/>
      <w:numFmt w:val="decimal"/>
      <w:pStyle w:val="-OlWIRberschrift4-"/>
      <w:lvlText w:val="%1%2.%3.%4.%5"/>
      <w:lvlJc w:val="left"/>
      <w:pPr>
        <w:tabs>
          <w:tab w:val="num" w:pos="1009"/>
        </w:tabs>
        <w:ind w:left="1009" w:hanging="1009"/>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num w:numId="1">
    <w:abstractNumId w:val="4"/>
  </w:num>
  <w:num w:numId="2">
    <w:abstractNumId w:val="3"/>
  </w:num>
  <w:num w:numId="3">
    <w:abstractNumId w:val="2"/>
  </w:num>
  <w:num w:numId="4">
    <w:abstractNumId w:val="1"/>
  </w:num>
  <w:num w:numId="5">
    <w:abstractNumId w:val="0"/>
  </w:num>
  <w:num w:numId="6">
    <w:abstractNumId w:val="12"/>
  </w:num>
  <w:num w:numId="7">
    <w:abstractNumId w:val="8"/>
  </w:num>
  <w:num w:numId="8">
    <w:abstractNumId w:val="9"/>
  </w:num>
  <w:num w:numId="9">
    <w:abstractNumId w:val="7"/>
  </w:num>
  <w:num w:numId="10">
    <w:abstractNumId w:val="12"/>
  </w:num>
  <w:num w:numId="11">
    <w:abstractNumId w:val="12"/>
  </w:num>
  <w:num w:numId="12">
    <w:abstractNumId w:val="12"/>
  </w:num>
  <w:num w:numId="13">
    <w:abstractNumId w:val="12"/>
  </w:num>
  <w:num w:numId="14">
    <w:abstractNumId w:val="12"/>
  </w:num>
  <w:num w:numId="15">
    <w:abstractNumId w:val="12"/>
  </w:num>
  <w:num w:numId="16">
    <w:abstractNumId w:val="12"/>
  </w:num>
  <w:num w:numId="17">
    <w:abstractNumId w:val="12"/>
  </w:num>
  <w:num w:numId="18">
    <w:abstractNumId w:val="12"/>
  </w:num>
  <w:num w:numId="19">
    <w:abstractNumId w:val="10"/>
  </w:num>
  <w:num w:numId="20">
    <w:abstractNumId w:val="12"/>
  </w:num>
  <w:num w:numId="21">
    <w:abstractNumId w:val="6"/>
  </w:num>
  <w:num w:numId="22">
    <w:abstractNumId w:val="11"/>
  </w:num>
  <w:num w:numId="23">
    <w:abstractNumId w:val="1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isplayBackgroundShape/>
  <w:embedSystemFonts/>
  <w:mirrorMargins/>
  <w:proofState w:spelling="clean" w:grammar="clean"/>
  <w:attachedTemplate r:id="rId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09"/>
  <w:autoHyphenation/>
  <w:hyphenationZone w:val="624"/>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277A"/>
    <w:rsid w:val="0000236B"/>
    <w:rsid w:val="000232BF"/>
    <w:rsid w:val="000312A7"/>
    <w:rsid w:val="00034212"/>
    <w:rsid w:val="000349BD"/>
    <w:rsid w:val="000550C1"/>
    <w:rsid w:val="0005511A"/>
    <w:rsid w:val="00063B9E"/>
    <w:rsid w:val="00064EF3"/>
    <w:rsid w:val="00065D6C"/>
    <w:rsid w:val="000668C5"/>
    <w:rsid w:val="00071FAA"/>
    <w:rsid w:val="00081C18"/>
    <w:rsid w:val="000843E7"/>
    <w:rsid w:val="00090B48"/>
    <w:rsid w:val="0009290A"/>
    <w:rsid w:val="00093D3B"/>
    <w:rsid w:val="000A504C"/>
    <w:rsid w:val="000A5E2E"/>
    <w:rsid w:val="000B7245"/>
    <w:rsid w:val="000D0FFD"/>
    <w:rsid w:val="000D1833"/>
    <w:rsid w:val="000D4D22"/>
    <w:rsid w:val="000D77B3"/>
    <w:rsid w:val="000F1FF5"/>
    <w:rsid w:val="00105AE1"/>
    <w:rsid w:val="00130A54"/>
    <w:rsid w:val="001375FA"/>
    <w:rsid w:val="00142495"/>
    <w:rsid w:val="0014259A"/>
    <w:rsid w:val="00144931"/>
    <w:rsid w:val="001617F1"/>
    <w:rsid w:val="00166620"/>
    <w:rsid w:val="0018789E"/>
    <w:rsid w:val="001A4855"/>
    <w:rsid w:val="001D0DA8"/>
    <w:rsid w:val="001E05C6"/>
    <w:rsid w:val="001E0DC1"/>
    <w:rsid w:val="001E274F"/>
    <w:rsid w:val="001F0D24"/>
    <w:rsid w:val="002053D1"/>
    <w:rsid w:val="00230723"/>
    <w:rsid w:val="002330BF"/>
    <w:rsid w:val="002452C8"/>
    <w:rsid w:val="002616B7"/>
    <w:rsid w:val="00266B97"/>
    <w:rsid w:val="002716A5"/>
    <w:rsid w:val="002815CE"/>
    <w:rsid w:val="00281648"/>
    <w:rsid w:val="00286EBE"/>
    <w:rsid w:val="002A4072"/>
    <w:rsid w:val="002A598D"/>
    <w:rsid w:val="002A5B62"/>
    <w:rsid w:val="002B111B"/>
    <w:rsid w:val="002B344D"/>
    <w:rsid w:val="002C5AB2"/>
    <w:rsid w:val="002E6D3C"/>
    <w:rsid w:val="002F0642"/>
    <w:rsid w:val="002F2B64"/>
    <w:rsid w:val="002F76F0"/>
    <w:rsid w:val="002F7EFB"/>
    <w:rsid w:val="00303918"/>
    <w:rsid w:val="003104A0"/>
    <w:rsid w:val="00313741"/>
    <w:rsid w:val="003165DE"/>
    <w:rsid w:val="00335B5F"/>
    <w:rsid w:val="003410CE"/>
    <w:rsid w:val="00350A5F"/>
    <w:rsid w:val="00371D6F"/>
    <w:rsid w:val="003751AD"/>
    <w:rsid w:val="0037777E"/>
    <w:rsid w:val="00391E72"/>
    <w:rsid w:val="0039277A"/>
    <w:rsid w:val="00397F44"/>
    <w:rsid w:val="003A42C7"/>
    <w:rsid w:val="003A4805"/>
    <w:rsid w:val="003F349A"/>
    <w:rsid w:val="0041067F"/>
    <w:rsid w:val="0041161B"/>
    <w:rsid w:val="00432C09"/>
    <w:rsid w:val="0045132C"/>
    <w:rsid w:val="0046277D"/>
    <w:rsid w:val="004723F7"/>
    <w:rsid w:val="00472F75"/>
    <w:rsid w:val="00491325"/>
    <w:rsid w:val="004A297F"/>
    <w:rsid w:val="004C7CCD"/>
    <w:rsid w:val="004D3A9C"/>
    <w:rsid w:val="004D47E3"/>
    <w:rsid w:val="004F0530"/>
    <w:rsid w:val="004F0682"/>
    <w:rsid w:val="004F424F"/>
    <w:rsid w:val="004F6032"/>
    <w:rsid w:val="0050235C"/>
    <w:rsid w:val="00552344"/>
    <w:rsid w:val="00567750"/>
    <w:rsid w:val="0056776E"/>
    <w:rsid w:val="005703A4"/>
    <w:rsid w:val="00570EE5"/>
    <w:rsid w:val="0057556E"/>
    <w:rsid w:val="0057722F"/>
    <w:rsid w:val="0059430F"/>
    <w:rsid w:val="005A5531"/>
    <w:rsid w:val="005B2E56"/>
    <w:rsid w:val="005F4C15"/>
    <w:rsid w:val="005F757A"/>
    <w:rsid w:val="00610377"/>
    <w:rsid w:val="006219BA"/>
    <w:rsid w:val="006354B3"/>
    <w:rsid w:val="006440C3"/>
    <w:rsid w:val="00645079"/>
    <w:rsid w:val="00646F55"/>
    <w:rsid w:val="006604E6"/>
    <w:rsid w:val="00662BAC"/>
    <w:rsid w:val="006677A1"/>
    <w:rsid w:val="00682660"/>
    <w:rsid w:val="00695FD5"/>
    <w:rsid w:val="006A2C0E"/>
    <w:rsid w:val="006A3229"/>
    <w:rsid w:val="006A3E7F"/>
    <w:rsid w:val="006A5030"/>
    <w:rsid w:val="006A55FC"/>
    <w:rsid w:val="006B00C5"/>
    <w:rsid w:val="006B0257"/>
    <w:rsid w:val="006C2434"/>
    <w:rsid w:val="006C762A"/>
    <w:rsid w:val="006E3E10"/>
    <w:rsid w:val="006F423A"/>
    <w:rsid w:val="007027C6"/>
    <w:rsid w:val="00723B18"/>
    <w:rsid w:val="00724C25"/>
    <w:rsid w:val="00725CCA"/>
    <w:rsid w:val="00726B34"/>
    <w:rsid w:val="0073154D"/>
    <w:rsid w:val="00732A9C"/>
    <w:rsid w:val="00740DDC"/>
    <w:rsid w:val="00771713"/>
    <w:rsid w:val="0077348E"/>
    <w:rsid w:val="00775A4D"/>
    <w:rsid w:val="007828DB"/>
    <w:rsid w:val="00787887"/>
    <w:rsid w:val="00796DF3"/>
    <w:rsid w:val="007A5047"/>
    <w:rsid w:val="007B1D15"/>
    <w:rsid w:val="007B6606"/>
    <w:rsid w:val="007F1F9F"/>
    <w:rsid w:val="00805D70"/>
    <w:rsid w:val="00817D08"/>
    <w:rsid w:val="00831E07"/>
    <w:rsid w:val="0083385D"/>
    <w:rsid w:val="00840A7C"/>
    <w:rsid w:val="008459CC"/>
    <w:rsid w:val="00846F37"/>
    <w:rsid w:val="00871A51"/>
    <w:rsid w:val="00884119"/>
    <w:rsid w:val="00884A38"/>
    <w:rsid w:val="008A589D"/>
    <w:rsid w:val="008B2B88"/>
    <w:rsid w:val="008B50BA"/>
    <w:rsid w:val="008B629D"/>
    <w:rsid w:val="008B630B"/>
    <w:rsid w:val="008C3F73"/>
    <w:rsid w:val="008D3F1C"/>
    <w:rsid w:val="008D5607"/>
    <w:rsid w:val="008E1B81"/>
    <w:rsid w:val="008F0684"/>
    <w:rsid w:val="008F166E"/>
    <w:rsid w:val="009141D1"/>
    <w:rsid w:val="00922F26"/>
    <w:rsid w:val="00946348"/>
    <w:rsid w:val="00947749"/>
    <w:rsid w:val="0097154D"/>
    <w:rsid w:val="0098406D"/>
    <w:rsid w:val="00991092"/>
    <w:rsid w:val="0099353E"/>
    <w:rsid w:val="009A43AF"/>
    <w:rsid w:val="009A581E"/>
    <w:rsid w:val="009B26F8"/>
    <w:rsid w:val="009C523A"/>
    <w:rsid w:val="009D49BA"/>
    <w:rsid w:val="009E185A"/>
    <w:rsid w:val="009E56BF"/>
    <w:rsid w:val="009E61F3"/>
    <w:rsid w:val="00A021D1"/>
    <w:rsid w:val="00A2550A"/>
    <w:rsid w:val="00A25E82"/>
    <w:rsid w:val="00A35B16"/>
    <w:rsid w:val="00A37D52"/>
    <w:rsid w:val="00A43B93"/>
    <w:rsid w:val="00A4684C"/>
    <w:rsid w:val="00A47550"/>
    <w:rsid w:val="00A514F7"/>
    <w:rsid w:val="00A5267C"/>
    <w:rsid w:val="00A5287F"/>
    <w:rsid w:val="00A57719"/>
    <w:rsid w:val="00A600BC"/>
    <w:rsid w:val="00A83411"/>
    <w:rsid w:val="00A910C2"/>
    <w:rsid w:val="00A941F1"/>
    <w:rsid w:val="00AA2161"/>
    <w:rsid w:val="00AB0679"/>
    <w:rsid w:val="00AB50D3"/>
    <w:rsid w:val="00AB6848"/>
    <w:rsid w:val="00AC41BD"/>
    <w:rsid w:val="00AE5737"/>
    <w:rsid w:val="00AF4FA3"/>
    <w:rsid w:val="00AF5239"/>
    <w:rsid w:val="00AF69F1"/>
    <w:rsid w:val="00B25044"/>
    <w:rsid w:val="00B34FA9"/>
    <w:rsid w:val="00B46537"/>
    <w:rsid w:val="00B511B4"/>
    <w:rsid w:val="00B51487"/>
    <w:rsid w:val="00B543FD"/>
    <w:rsid w:val="00B64314"/>
    <w:rsid w:val="00B66F19"/>
    <w:rsid w:val="00B82839"/>
    <w:rsid w:val="00BA769F"/>
    <w:rsid w:val="00BB0BD0"/>
    <w:rsid w:val="00BB19F0"/>
    <w:rsid w:val="00BB27B8"/>
    <w:rsid w:val="00BB502C"/>
    <w:rsid w:val="00BC0E71"/>
    <w:rsid w:val="00BC6A27"/>
    <w:rsid w:val="00BD0F5E"/>
    <w:rsid w:val="00BF6D21"/>
    <w:rsid w:val="00C17662"/>
    <w:rsid w:val="00C367D7"/>
    <w:rsid w:val="00C4500F"/>
    <w:rsid w:val="00C458F4"/>
    <w:rsid w:val="00C61C5C"/>
    <w:rsid w:val="00C67D24"/>
    <w:rsid w:val="00C701B9"/>
    <w:rsid w:val="00C7096D"/>
    <w:rsid w:val="00C72ADD"/>
    <w:rsid w:val="00C83045"/>
    <w:rsid w:val="00C926BF"/>
    <w:rsid w:val="00CA14E5"/>
    <w:rsid w:val="00CA50B8"/>
    <w:rsid w:val="00CB3F62"/>
    <w:rsid w:val="00CC0E61"/>
    <w:rsid w:val="00CE15FC"/>
    <w:rsid w:val="00CE18CF"/>
    <w:rsid w:val="00CF620E"/>
    <w:rsid w:val="00D0438D"/>
    <w:rsid w:val="00D05F2B"/>
    <w:rsid w:val="00D1628B"/>
    <w:rsid w:val="00D2399B"/>
    <w:rsid w:val="00D241D3"/>
    <w:rsid w:val="00D3137A"/>
    <w:rsid w:val="00D3442F"/>
    <w:rsid w:val="00D355AC"/>
    <w:rsid w:val="00D420AA"/>
    <w:rsid w:val="00D453E1"/>
    <w:rsid w:val="00D5356D"/>
    <w:rsid w:val="00D53E8C"/>
    <w:rsid w:val="00D76CFE"/>
    <w:rsid w:val="00D81C82"/>
    <w:rsid w:val="00D82D72"/>
    <w:rsid w:val="00DA5989"/>
    <w:rsid w:val="00DB6548"/>
    <w:rsid w:val="00DC2BC2"/>
    <w:rsid w:val="00DC6D13"/>
    <w:rsid w:val="00DC6ED0"/>
    <w:rsid w:val="00DD0AE1"/>
    <w:rsid w:val="00DE5AED"/>
    <w:rsid w:val="00E11CD9"/>
    <w:rsid w:val="00E1532A"/>
    <w:rsid w:val="00E24AFA"/>
    <w:rsid w:val="00E303F3"/>
    <w:rsid w:val="00E3113F"/>
    <w:rsid w:val="00E342D0"/>
    <w:rsid w:val="00E5466C"/>
    <w:rsid w:val="00E55082"/>
    <w:rsid w:val="00E67068"/>
    <w:rsid w:val="00E67190"/>
    <w:rsid w:val="00E73580"/>
    <w:rsid w:val="00E92651"/>
    <w:rsid w:val="00E92704"/>
    <w:rsid w:val="00E953EA"/>
    <w:rsid w:val="00EA0653"/>
    <w:rsid w:val="00EA2005"/>
    <w:rsid w:val="00EC37BB"/>
    <w:rsid w:val="00EC486A"/>
    <w:rsid w:val="00EC69D5"/>
    <w:rsid w:val="00EC7C3E"/>
    <w:rsid w:val="00ED2853"/>
    <w:rsid w:val="00ED4E06"/>
    <w:rsid w:val="00EF12D7"/>
    <w:rsid w:val="00F000D7"/>
    <w:rsid w:val="00F0699D"/>
    <w:rsid w:val="00F076B4"/>
    <w:rsid w:val="00F1019C"/>
    <w:rsid w:val="00F10F58"/>
    <w:rsid w:val="00F31862"/>
    <w:rsid w:val="00F33E18"/>
    <w:rsid w:val="00F36ED4"/>
    <w:rsid w:val="00F6568C"/>
    <w:rsid w:val="00F8192F"/>
    <w:rsid w:val="00F90728"/>
    <w:rsid w:val="00F92700"/>
    <w:rsid w:val="00FA50FB"/>
    <w:rsid w:val="00FE030D"/>
    <w:rsid w:val="00FE47C1"/>
    <w:rsid w:val="00FE74AF"/>
    <w:rsid w:val="00FF5C8A"/>
    <w:rsid w:val="00FF634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Table" w:semiHidden="0" w:unhideWhenUsed="0"/>
    <w:lsdException w:name="Table Subtle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05D70"/>
    <w:rPr>
      <w:sz w:val="24"/>
      <w:szCs w:val="24"/>
    </w:rPr>
  </w:style>
  <w:style w:type="paragraph" w:styleId="berschrift1">
    <w:name w:val="heading 1"/>
    <w:basedOn w:val="Standard"/>
    <w:next w:val="Standard"/>
    <w:qFormat/>
    <w:pPr>
      <w:keepNext/>
      <w:spacing w:before="240" w:after="60"/>
      <w:outlineLvl w:val="0"/>
    </w:pPr>
    <w:rPr>
      <w:b/>
      <w:bCs/>
      <w:kern w:val="32"/>
      <w:sz w:val="32"/>
      <w:szCs w:val="32"/>
    </w:rPr>
  </w:style>
  <w:style w:type="paragraph" w:styleId="berschrift2">
    <w:name w:val="heading 2"/>
    <w:basedOn w:val="Standard"/>
    <w:next w:val="Standard"/>
    <w:qFormat/>
    <w:pPr>
      <w:tabs>
        <w:tab w:val="left" w:pos="397"/>
      </w:tabs>
      <w:spacing w:before="240" w:after="60" w:line="320" w:lineRule="exact"/>
      <w:outlineLvl w:val="1"/>
    </w:pPr>
    <w:rPr>
      <w:b/>
      <w:bCs/>
      <w:iCs/>
      <w:szCs w:val="28"/>
    </w:rPr>
  </w:style>
  <w:style w:type="paragraph" w:styleId="berschrift3">
    <w:name w:val="heading 3"/>
    <w:basedOn w:val="Standard"/>
    <w:next w:val="Standard"/>
    <w:qFormat/>
    <w:pPr>
      <w:keepNext/>
      <w:spacing w:before="240" w:after="60"/>
      <w:jc w:val="center"/>
      <w:outlineLvl w:val="2"/>
    </w:pPr>
    <w:rPr>
      <w:b/>
      <w:bCs/>
      <w:szCs w:val="26"/>
    </w:rPr>
  </w:style>
  <w:style w:type="paragraph" w:styleId="berschrift4">
    <w:name w:val="heading 4"/>
    <w:basedOn w:val="Standard"/>
    <w:next w:val="Standard"/>
    <w:qFormat/>
    <w:pPr>
      <w:keepNext/>
      <w:spacing w:before="240" w:after="60"/>
      <w:outlineLvl w:val="3"/>
    </w:pPr>
    <w:rPr>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b/>
      <w:bCs/>
    </w:rPr>
  </w:style>
  <w:style w:type="paragraph" w:styleId="berschrift7">
    <w:name w:val="heading 7"/>
    <w:aliases w:val="A Buchtitel"/>
    <w:next w:val="Standard"/>
    <w:qFormat/>
    <w:pPr>
      <w:tabs>
        <w:tab w:val="left" w:pos="720"/>
      </w:tabs>
      <w:overflowPunct w:val="0"/>
      <w:spacing w:before="240" w:after="60"/>
      <w:textAlignment w:val="baseline"/>
      <w:outlineLvl w:val="6"/>
    </w:pPr>
    <w:rPr>
      <w:rFonts w:ascii="Swis721 Ex BT" w:hAnsi="Swis721 Ex BT"/>
      <w:noProof/>
      <w:szCs w:val="22"/>
    </w:rPr>
  </w:style>
  <w:style w:type="paragraph" w:styleId="berschrift8">
    <w:name w:val="heading 8"/>
    <w:basedOn w:val="Standard"/>
    <w:next w:val="Standard"/>
    <w:qFormat/>
    <w:pPr>
      <w:spacing w:before="240" w:after="60" w:line="320" w:lineRule="exact"/>
      <w:jc w:val="both"/>
      <w:outlineLvl w:val="7"/>
    </w:pPr>
    <w:rPr>
      <w:i/>
      <w:iCs/>
    </w:rPr>
  </w:style>
  <w:style w:type="paragraph" w:styleId="berschrift9">
    <w:name w:val="heading 9"/>
    <w:basedOn w:val="Standard"/>
    <w:next w:val="Standard"/>
    <w:qFormat/>
    <w:pPr>
      <w:tabs>
        <w:tab w:val="left" w:pos="720"/>
      </w:tabs>
      <w:overflowPunct w:val="0"/>
      <w:spacing w:before="240" w:after="60"/>
      <w:textAlignment w:val="baseline"/>
      <w:outlineLvl w:val="8"/>
    </w:pPr>
    <w:rPr>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unotenzeichen">
    <w:name w:val="footnote reference"/>
    <w:semiHidden/>
    <w:rsid w:val="00C701B9"/>
    <w:rPr>
      <w:rFonts w:ascii="IowanOldSt BT" w:hAnsi="IowanOldSt BT"/>
      <w:sz w:val="20"/>
      <w:vertAlign w:val="superscript"/>
    </w:rPr>
  </w:style>
  <w:style w:type="paragraph" w:customStyle="1" w:styleId="-OlWIRBeitragsautoren-">
    <w:name w:val="- OlWIR Beitragsautoren -"/>
    <w:next w:val="-OlWIRBeitragsautorenAdresse-"/>
    <w:rsid w:val="00A600BC"/>
    <w:pPr>
      <w:spacing w:before="240"/>
      <w:ind w:left="1134"/>
      <w:contextualSpacing/>
    </w:pPr>
    <w:rPr>
      <w:rFonts w:ascii="Trebuchet MS" w:hAnsi="Trebuchet MS"/>
      <w:sz w:val="26"/>
    </w:rPr>
  </w:style>
  <w:style w:type="paragraph" w:customStyle="1" w:styleId="-OlWIRBeitragsautorenAdresse-">
    <w:name w:val="- OlWIR Beitragsautoren Adresse -"/>
    <w:next w:val="-OlWIRZusammenfassung-"/>
    <w:rsid w:val="002B344D"/>
    <w:pPr>
      <w:spacing w:before="240"/>
      <w:ind w:left="1134"/>
      <w:contextualSpacing/>
    </w:pPr>
    <w:rPr>
      <w:rFonts w:ascii="Trebuchet MS" w:hAnsi="Trebuchet MS"/>
      <w:sz w:val="24"/>
    </w:rPr>
  </w:style>
  <w:style w:type="paragraph" w:customStyle="1" w:styleId="-OlWIRZusammenfassung-">
    <w:name w:val="- OlWIR Zusammenfassung -"/>
    <w:next w:val="-OlWIRZusammenfassungText-"/>
    <w:rsid w:val="0059430F"/>
    <w:pPr>
      <w:spacing w:before="600" w:after="120"/>
    </w:pPr>
    <w:rPr>
      <w:rFonts w:ascii="Trebuchet MS" w:hAnsi="Trebuchet MS"/>
      <w:b/>
      <w:color w:val="808080"/>
      <w:sz w:val="28"/>
    </w:rPr>
  </w:style>
  <w:style w:type="paragraph" w:customStyle="1" w:styleId="-OlWIRZusammenfassungText-">
    <w:name w:val="- OlWIR Zusammenfassung Text -"/>
    <w:next w:val="-OlWIRberschrift1-"/>
    <w:rsid w:val="00E303F3"/>
    <w:pPr>
      <w:spacing w:after="360" w:line="240" w:lineRule="exact"/>
      <w:jc w:val="both"/>
    </w:pPr>
    <w:rPr>
      <w:sz w:val="23"/>
    </w:rPr>
  </w:style>
  <w:style w:type="paragraph" w:customStyle="1" w:styleId="-OlWIRberschrift1-">
    <w:name w:val="- OlWIR Überschrift 1 -"/>
    <w:next w:val="-OlWIRStandardtext-"/>
    <w:rsid w:val="0018789E"/>
    <w:pPr>
      <w:keepNext/>
      <w:numPr>
        <w:ilvl w:val="1"/>
        <w:numId w:val="6"/>
      </w:numPr>
      <w:suppressAutoHyphens/>
      <w:spacing w:before="240" w:after="240"/>
      <w:outlineLvl w:val="1"/>
    </w:pPr>
    <w:rPr>
      <w:rFonts w:ascii="Trebuchet MS" w:hAnsi="Trebuchet MS"/>
      <w:b/>
      <w:color w:val="808080"/>
      <w:sz w:val="32"/>
      <w:szCs w:val="24"/>
    </w:rPr>
  </w:style>
  <w:style w:type="paragraph" w:customStyle="1" w:styleId="-OlWIRStandardtext-">
    <w:name w:val="- OlWIR Standardtext -"/>
    <w:next w:val="-OlWIRStandardtextEinzug-"/>
    <w:rsid w:val="00E303F3"/>
    <w:pPr>
      <w:spacing w:after="120" w:line="320" w:lineRule="exact"/>
      <w:jc w:val="both"/>
    </w:pPr>
    <w:rPr>
      <w:color w:val="000000"/>
      <w:sz w:val="26"/>
      <w:szCs w:val="24"/>
    </w:rPr>
  </w:style>
  <w:style w:type="paragraph" w:customStyle="1" w:styleId="-OlWIRStandardtextEinzug-">
    <w:name w:val="- OlWIR Standardtext Einzug -"/>
    <w:basedOn w:val="-OlWIRStandardtext-"/>
    <w:pPr>
      <w:ind w:firstLine="210"/>
    </w:pPr>
  </w:style>
  <w:style w:type="character" w:styleId="Hyperlink">
    <w:name w:val="Hyperlink"/>
    <w:basedOn w:val="Absatz-Standardschriftart"/>
    <w:rPr>
      <w:rFonts w:ascii="Arial" w:hAnsi="Arial"/>
      <w:b/>
      <w:color w:val="0000FF"/>
      <w:sz w:val="26"/>
      <w:u w:val="none"/>
    </w:rPr>
  </w:style>
  <w:style w:type="character" w:styleId="Endnotenzeichen">
    <w:name w:val="endnote reference"/>
  </w:style>
  <w:style w:type="paragraph" w:customStyle="1" w:styleId="-OlWIRberschrift-">
    <w:name w:val="- OlWIR Überschrift -"/>
    <w:next w:val="-OlWIRStandardtext-"/>
    <w:pPr>
      <w:spacing w:after="240"/>
      <w:jc w:val="both"/>
    </w:pPr>
    <w:rPr>
      <w:rFonts w:ascii="Trebuchet MS" w:hAnsi="Trebuchet MS" w:cs="Arial"/>
      <w:b/>
      <w:sz w:val="22"/>
      <w:szCs w:val="22"/>
    </w:rPr>
  </w:style>
  <w:style w:type="paragraph" w:styleId="Liste">
    <w:name w:val="List"/>
    <w:basedOn w:val="Standard"/>
    <w:pPr>
      <w:ind w:left="283" w:hanging="283"/>
    </w:pPr>
  </w:style>
  <w:style w:type="paragraph" w:styleId="Kopfzeile">
    <w:name w:val="header"/>
    <w:rsid w:val="00ED4E06"/>
    <w:pPr>
      <w:tabs>
        <w:tab w:val="center" w:pos="4536"/>
        <w:tab w:val="right" w:pos="9072"/>
      </w:tabs>
    </w:pPr>
    <w:rPr>
      <w:rFonts w:ascii="IowanOldSt BT" w:hAnsi="IowanOldSt BT"/>
      <w:sz w:val="21"/>
      <w:szCs w:val="24"/>
    </w:rPr>
  </w:style>
  <w:style w:type="paragraph" w:styleId="Fuzeile">
    <w:name w:val="footer"/>
    <w:basedOn w:val="Standard"/>
    <w:pPr>
      <w:tabs>
        <w:tab w:val="center" w:pos="4536"/>
        <w:tab w:val="right" w:pos="9072"/>
      </w:tabs>
    </w:pPr>
  </w:style>
  <w:style w:type="paragraph" w:styleId="Beschriftung">
    <w:name w:val="caption"/>
    <w:basedOn w:val="Standard"/>
    <w:next w:val="Standard"/>
    <w:qFormat/>
    <w:rPr>
      <w:b/>
      <w:bCs/>
      <w:sz w:val="20"/>
      <w:szCs w:val="20"/>
    </w:rPr>
  </w:style>
  <w:style w:type="paragraph" w:styleId="Funotentext">
    <w:name w:val="footnote text"/>
    <w:basedOn w:val="Standard"/>
    <w:rsid w:val="00DB6548"/>
    <w:pPr>
      <w:tabs>
        <w:tab w:val="left" w:pos="312"/>
      </w:tabs>
      <w:ind w:left="312" w:hanging="312"/>
      <w:jc w:val="both"/>
    </w:pPr>
    <w:rPr>
      <w:sz w:val="21"/>
    </w:rPr>
  </w:style>
  <w:style w:type="paragraph" w:customStyle="1" w:styleId="Verzeichnis">
    <w:name w:val="Verzeichnis"/>
    <w:basedOn w:val="Standard"/>
    <w:pPr>
      <w:suppressLineNumbers/>
    </w:pPr>
    <w:rPr>
      <w:rFonts w:cs="Tahoma"/>
    </w:rPr>
  </w:style>
  <w:style w:type="paragraph" w:customStyle="1" w:styleId="Inhaltsverzeichnisberschrift">
    <w:name w:val="Inhaltsverzeichnis Überschrift"/>
    <w:basedOn w:val="Standard"/>
    <w:rsid w:val="001D0DA8"/>
    <w:pPr>
      <w:keepNext/>
      <w:suppressLineNumbers/>
      <w:spacing w:before="240" w:after="120"/>
    </w:pPr>
    <w:rPr>
      <w:rFonts w:ascii="Arial" w:eastAsia="Lucida Sans Unicode" w:hAnsi="Arial" w:cs="Tahoma"/>
      <w:bCs/>
      <w:sz w:val="28"/>
      <w:szCs w:val="32"/>
    </w:rPr>
  </w:style>
  <w:style w:type="paragraph" w:styleId="Verzeichnis1">
    <w:name w:val="toc 1"/>
    <w:basedOn w:val="Standard"/>
    <w:next w:val="Standard"/>
    <w:semiHidden/>
    <w:rsid w:val="00D05F2B"/>
    <w:pPr>
      <w:tabs>
        <w:tab w:val="left" w:pos="709"/>
        <w:tab w:val="right" w:leader="dot" w:pos="7655"/>
      </w:tabs>
      <w:spacing w:before="360" w:after="240"/>
      <w:ind w:left="709" w:hanging="709"/>
    </w:pPr>
    <w:rPr>
      <w:rFonts w:ascii="Trebuchet MS" w:hAnsi="Trebuchet MS"/>
      <w:b/>
      <w:caps/>
      <w:color w:val="808080"/>
    </w:rPr>
  </w:style>
  <w:style w:type="paragraph" w:styleId="Verzeichnis2">
    <w:name w:val="toc 2"/>
    <w:basedOn w:val="Standard"/>
    <w:next w:val="Standard"/>
    <w:semiHidden/>
    <w:rsid w:val="00D05F2B"/>
    <w:pPr>
      <w:keepNext/>
      <w:keepLines/>
      <w:tabs>
        <w:tab w:val="left" w:pos="425"/>
        <w:tab w:val="right" w:leader="dot" w:pos="7655"/>
      </w:tabs>
      <w:spacing w:before="240" w:after="160"/>
      <w:ind w:left="425" w:right="284" w:hanging="425"/>
    </w:pPr>
    <w:rPr>
      <w:rFonts w:ascii="Trebuchet MS" w:hAnsi="Trebuchet MS"/>
      <w:b/>
      <w:color w:val="808080"/>
    </w:rPr>
  </w:style>
  <w:style w:type="paragraph" w:styleId="Verzeichnis3">
    <w:name w:val="toc 3"/>
    <w:basedOn w:val="Standard"/>
    <w:next w:val="Standard"/>
    <w:semiHidden/>
    <w:rsid w:val="00D05F2B"/>
    <w:pPr>
      <w:tabs>
        <w:tab w:val="left" w:pos="284"/>
        <w:tab w:val="right" w:leader="dot" w:pos="7655"/>
      </w:tabs>
      <w:spacing w:before="80" w:line="260" w:lineRule="exact"/>
      <w:ind w:left="284" w:right="567" w:hanging="284"/>
    </w:pPr>
    <w:rPr>
      <w:rFonts w:ascii="Trebuchet MS" w:hAnsi="Trebuchet MS"/>
      <w:sz w:val="20"/>
    </w:rPr>
  </w:style>
  <w:style w:type="paragraph" w:styleId="Verzeichnis4">
    <w:name w:val="toc 4"/>
    <w:semiHidden/>
    <w:rsid w:val="00D05F2B"/>
    <w:pPr>
      <w:keepLines/>
      <w:tabs>
        <w:tab w:val="left" w:pos="284"/>
        <w:tab w:val="right" w:leader="dot" w:pos="7655"/>
      </w:tabs>
      <w:spacing w:before="80"/>
      <w:ind w:left="568" w:right="851" w:hanging="284"/>
    </w:pPr>
    <w:rPr>
      <w:rFonts w:ascii="Trebuchet MS" w:hAnsi="Trebuchet MS"/>
      <w:noProof/>
      <w:szCs w:val="24"/>
    </w:rPr>
  </w:style>
  <w:style w:type="paragraph" w:styleId="Verzeichnis5">
    <w:name w:val="toc 5"/>
    <w:basedOn w:val="Standard"/>
    <w:next w:val="Standard"/>
    <w:semiHidden/>
    <w:rsid w:val="00D05F2B"/>
    <w:pPr>
      <w:tabs>
        <w:tab w:val="left" w:pos="851"/>
        <w:tab w:val="right" w:leader="dot" w:pos="7655"/>
      </w:tabs>
      <w:spacing w:before="80"/>
      <w:ind w:left="851" w:right="567" w:hanging="284"/>
    </w:pPr>
    <w:rPr>
      <w:rFonts w:ascii="Trebuchet MS" w:hAnsi="Trebuchet MS"/>
      <w:sz w:val="20"/>
    </w:rPr>
  </w:style>
  <w:style w:type="paragraph" w:styleId="Verzeichnis6">
    <w:name w:val="toc 6"/>
    <w:basedOn w:val="Standard"/>
    <w:next w:val="Standard"/>
    <w:autoRedefine/>
    <w:semiHidden/>
    <w:rsid w:val="00D05F2B"/>
    <w:pPr>
      <w:ind w:left="1200"/>
    </w:pPr>
    <w:rPr>
      <w:noProof/>
    </w:rPr>
  </w:style>
  <w:style w:type="character" w:styleId="Seitenzahl">
    <w:name w:val="page number"/>
    <w:basedOn w:val="Absatz-Standardschriftart"/>
    <w:rsid w:val="00B25044"/>
    <w:rPr>
      <w:rFonts w:ascii="IowanOldSt BT" w:hAnsi="IowanOldSt BT"/>
      <w:sz w:val="24"/>
    </w:rPr>
  </w:style>
  <w:style w:type="paragraph" w:styleId="Untertitel">
    <w:name w:val="Subtitle"/>
    <w:basedOn w:val="Standard"/>
    <w:qFormat/>
    <w:pPr>
      <w:spacing w:after="60"/>
      <w:jc w:val="center"/>
      <w:outlineLvl w:val="1"/>
    </w:pPr>
  </w:style>
  <w:style w:type="paragraph" w:styleId="Endnotentext">
    <w:name w:val="endnote text"/>
    <w:basedOn w:val="Standard"/>
    <w:rPr>
      <w:sz w:val="20"/>
      <w:szCs w:val="20"/>
    </w:rPr>
  </w:style>
  <w:style w:type="paragraph" w:styleId="Textkrper2">
    <w:name w:val="Body Text 2"/>
    <w:basedOn w:val="Standard"/>
    <w:pPr>
      <w:spacing w:after="120" w:line="480" w:lineRule="auto"/>
    </w:pPr>
  </w:style>
  <w:style w:type="character" w:styleId="Hervorhebung">
    <w:name w:val="Emphasis"/>
    <w:basedOn w:val="Absatz-Standardschriftart"/>
    <w:qFormat/>
    <w:rPr>
      <w:i/>
      <w:iCs/>
    </w:rPr>
  </w:style>
  <w:style w:type="paragraph" w:styleId="Index1">
    <w:name w:val="index 1"/>
    <w:basedOn w:val="Standard"/>
    <w:next w:val="Standard"/>
    <w:autoRedefine/>
    <w:pPr>
      <w:ind w:left="220" w:hanging="220"/>
    </w:pPr>
  </w:style>
  <w:style w:type="paragraph" w:styleId="Indexberschrift">
    <w:name w:val="index heading"/>
    <w:basedOn w:val="Standard"/>
    <w:next w:val="Index1"/>
    <w:rPr>
      <w:rFonts w:ascii="Arial" w:hAnsi="Arial"/>
      <w:b/>
      <w:bCs/>
    </w:rPr>
  </w:style>
  <w:style w:type="paragraph" w:styleId="Listenfortsetzung">
    <w:name w:val="List Continue"/>
    <w:basedOn w:val="Standard"/>
    <w:pPr>
      <w:spacing w:after="120"/>
      <w:ind w:left="283"/>
    </w:pPr>
  </w:style>
  <w:style w:type="paragraph" w:styleId="Liste2">
    <w:name w:val="List 2"/>
    <w:basedOn w:val="Standard"/>
    <w:pPr>
      <w:ind w:left="566" w:hanging="283"/>
    </w:pPr>
  </w:style>
  <w:style w:type="paragraph" w:styleId="Liste3">
    <w:name w:val="List 3"/>
    <w:basedOn w:val="Standard"/>
    <w:pPr>
      <w:ind w:left="849" w:hanging="283"/>
    </w:pPr>
  </w:style>
  <w:style w:type="paragraph" w:styleId="Liste4">
    <w:name w:val="List 4"/>
    <w:basedOn w:val="Standard"/>
    <w:pPr>
      <w:ind w:left="1132" w:hanging="283"/>
    </w:pPr>
  </w:style>
  <w:style w:type="paragraph" w:styleId="Liste5">
    <w:name w:val="List 5"/>
    <w:basedOn w:val="Standard"/>
    <w:pPr>
      <w:ind w:left="1415" w:hanging="283"/>
    </w:pPr>
  </w:style>
  <w:style w:type="paragraph" w:styleId="Listenfortsetzung2">
    <w:name w:val="List Continue 2"/>
    <w:basedOn w:val="Standard"/>
    <w:pPr>
      <w:spacing w:after="120"/>
      <w:ind w:left="566"/>
    </w:pPr>
  </w:style>
  <w:style w:type="paragraph" w:styleId="Listenfortsetzung3">
    <w:name w:val="List Continue 3"/>
    <w:basedOn w:val="Standard"/>
    <w:pPr>
      <w:spacing w:after="120"/>
      <w:ind w:left="849"/>
    </w:pPr>
  </w:style>
  <w:style w:type="paragraph" w:styleId="Listenfortsetzung4">
    <w:name w:val="List Continue 4"/>
    <w:basedOn w:val="Standard"/>
    <w:pPr>
      <w:spacing w:after="120"/>
      <w:ind w:left="1132"/>
    </w:pPr>
  </w:style>
  <w:style w:type="paragraph" w:styleId="Listenfortsetzung5">
    <w:name w:val="List Continue 5"/>
    <w:basedOn w:val="Standard"/>
    <w:pPr>
      <w:spacing w:after="120"/>
      <w:ind w:left="1415"/>
    </w:pPr>
  </w:style>
  <w:style w:type="paragraph" w:styleId="Verzeichnis7">
    <w:name w:val="toc 7"/>
    <w:basedOn w:val="Standard"/>
    <w:next w:val="Standard"/>
    <w:pPr>
      <w:ind w:left="1440"/>
    </w:pPr>
    <w:rPr>
      <w:sz w:val="20"/>
      <w:szCs w:val="20"/>
    </w:rPr>
  </w:style>
  <w:style w:type="paragraph" w:styleId="Verzeichnis8">
    <w:name w:val="toc 8"/>
    <w:basedOn w:val="Standard"/>
    <w:next w:val="Standard"/>
    <w:autoRedefine/>
    <w:pPr>
      <w:ind w:left="1680"/>
    </w:pPr>
    <w:rPr>
      <w:sz w:val="20"/>
      <w:szCs w:val="20"/>
    </w:rPr>
  </w:style>
  <w:style w:type="paragraph" w:styleId="Verzeichnis9">
    <w:name w:val="toc 9"/>
    <w:basedOn w:val="Standard"/>
    <w:next w:val="Standard"/>
    <w:autoRedefine/>
    <w:pPr>
      <w:ind w:left="1920"/>
    </w:pPr>
    <w:rPr>
      <w:sz w:val="20"/>
      <w:szCs w:val="20"/>
    </w:rPr>
  </w:style>
  <w:style w:type="paragraph" w:styleId="Titel">
    <w:name w:val="Title"/>
    <w:basedOn w:val="Standard"/>
    <w:qFormat/>
    <w:pPr>
      <w:overflowPunct w:val="0"/>
      <w:spacing w:before="240" w:after="60"/>
      <w:jc w:val="center"/>
      <w:textAlignment w:val="baseline"/>
      <w:outlineLvl w:val="0"/>
    </w:pPr>
    <w:rPr>
      <w:b/>
      <w:bCs/>
      <w:kern w:val="28"/>
      <w:sz w:val="32"/>
      <w:szCs w:val="32"/>
    </w:rPr>
  </w:style>
  <w:style w:type="paragraph" w:customStyle="1" w:styleId="Urteilszitat">
    <w:name w:val="Urteilszitat"/>
    <w:basedOn w:val="Standard"/>
    <w:next w:val="-OlWIRberschrift-"/>
    <w:pPr>
      <w:overflowPunct w:val="0"/>
      <w:ind w:left="425" w:right="425"/>
      <w:textAlignment w:val="baseline"/>
    </w:pPr>
    <w:rPr>
      <w:rFonts w:ascii="IowanOldSt BT" w:hAnsi="IowanOldSt BT"/>
      <w:sz w:val="28"/>
      <w:szCs w:val="20"/>
      <w:vertAlign w:val="superscript"/>
    </w:rPr>
  </w:style>
  <w:style w:type="paragraph" w:styleId="Datum">
    <w:name w:val="Date"/>
    <w:basedOn w:val="Standard"/>
    <w:next w:val="Standard"/>
  </w:style>
  <w:style w:type="paragraph" w:styleId="Dokumentstruktur">
    <w:name w:val="Document Map"/>
    <w:basedOn w:val="Standard"/>
    <w:pPr>
      <w:shd w:val="clear" w:color="auto" w:fill="000080"/>
    </w:pPr>
    <w:rPr>
      <w:rFonts w:ascii="Tahoma" w:hAnsi="Tahoma" w:cs="Tahoma"/>
    </w:rPr>
  </w:style>
  <w:style w:type="paragraph" w:styleId="E-Mail-Signatur">
    <w:name w:val="E-mail Signature"/>
    <w:basedOn w:val="Standard"/>
  </w:style>
  <w:style w:type="paragraph" w:styleId="Fu-Endnotenberschrift">
    <w:name w:val="Note Heading"/>
    <w:basedOn w:val="Standard"/>
    <w:next w:val="Standard"/>
  </w:style>
  <w:style w:type="paragraph" w:styleId="Gruformel">
    <w:name w:val="Closing"/>
    <w:basedOn w:val="Standard"/>
    <w:pPr>
      <w:ind w:left="4252"/>
    </w:pPr>
  </w:style>
  <w:style w:type="paragraph" w:styleId="HTMLAdresse">
    <w:name w:val="HTML Address"/>
    <w:basedOn w:val="Standard"/>
    <w:rPr>
      <w:i/>
      <w:iCs/>
    </w:rPr>
  </w:style>
  <w:style w:type="paragraph" w:styleId="HTMLVorformatiert">
    <w:name w:val="HTML Preformatted"/>
    <w:basedOn w:val="Standard"/>
    <w:rPr>
      <w:rFonts w:ascii="Courier New" w:hAnsi="Courier New" w:cs="Courier New"/>
      <w:sz w:val="20"/>
    </w:rPr>
  </w:style>
  <w:style w:type="paragraph" w:styleId="Index2">
    <w:name w:val="index 2"/>
    <w:basedOn w:val="Standard"/>
    <w:next w:val="Standard"/>
    <w:autoRedefine/>
    <w:pPr>
      <w:ind w:left="440" w:hanging="220"/>
    </w:pPr>
  </w:style>
  <w:style w:type="paragraph" w:styleId="Index3">
    <w:name w:val="index 3"/>
    <w:basedOn w:val="Standard"/>
    <w:next w:val="Standard"/>
    <w:autoRedefine/>
    <w:pPr>
      <w:ind w:left="660" w:hanging="220"/>
    </w:pPr>
  </w:style>
  <w:style w:type="paragraph" w:styleId="Index4">
    <w:name w:val="index 4"/>
    <w:basedOn w:val="Standard"/>
    <w:next w:val="Standard"/>
    <w:autoRedefine/>
    <w:pPr>
      <w:ind w:left="880" w:hanging="220"/>
    </w:pPr>
  </w:style>
  <w:style w:type="paragraph" w:styleId="Index5">
    <w:name w:val="index 5"/>
    <w:basedOn w:val="Standard"/>
    <w:next w:val="Standard"/>
    <w:autoRedefine/>
    <w:pPr>
      <w:ind w:left="1100" w:hanging="220"/>
    </w:pPr>
  </w:style>
  <w:style w:type="paragraph" w:styleId="Index6">
    <w:name w:val="index 6"/>
    <w:basedOn w:val="Standard"/>
    <w:next w:val="Standard"/>
    <w:autoRedefine/>
    <w:pPr>
      <w:ind w:left="1320" w:hanging="220"/>
    </w:pPr>
  </w:style>
  <w:style w:type="paragraph" w:styleId="Index7">
    <w:name w:val="index 7"/>
    <w:basedOn w:val="Standard"/>
    <w:next w:val="Standard"/>
    <w:autoRedefine/>
    <w:pPr>
      <w:ind w:left="1540" w:hanging="220"/>
    </w:pPr>
  </w:style>
  <w:style w:type="paragraph" w:styleId="Index8">
    <w:name w:val="index 8"/>
    <w:basedOn w:val="Standard"/>
    <w:next w:val="Standard"/>
    <w:autoRedefine/>
    <w:pPr>
      <w:ind w:left="1760" w:hanging="220"/>
    </w:pPr>
  </w:style>
  <w:style w:type="paragraph" w:styleId="Index9">
    <w:name w:val="index 9"/>
    <w:basedOn w:val="Standard"/>
    <w:next w:val="Standard"/>
    <w:autoRedefine/>
    <w:pPr>
      <w:ind w:left="1980" w:hanging="220"/>
    </w:pPr>
  </w:style>
  <w:style w:type="paragraph" w:styleId="Kommentartext">
    <w:name w:val="annotation text"/>
    <w:basedOn w:val="Standard"/>
    <w:rPr>
      <w:sz w:val="20"/>
      <w:szCs w:val="20"/>
    </w:rPr>
  </w:style>
  <w:style w:type="paragraph" w:styleId="Listennummer">
    <w:name w:val="List Number"/>
    <w:basedOn w:val="Standard"/>
    <w:pPr>
      <w:numPr>
        <w:numId w:val="1"/>
      </w:numPr>
    </w:pPr>
  </w:style>
  <w:style w:type="paragraph" w:styleId="Listennummer2">
    <w:name w:val="List Number 2"/>
    <w:basedOn w:val="Standard"/>
    <w:pPr>
      <w:numPr>
        <w:numId w:val="2"/>
      </w:numPr>
    </w:pPr>
  </w:style>
  <w:style w:type="paragraph" w:styleId="Listennummer3">
    <w:name w:val="List Number 3"/>
    <w:basedOn w:val="Standard"/>
    <w:pPr>
      <w:numPr>
        <w:numId w:val="3"/>
      </w:numPr>
    </w:pPr>
  </w:style>
  <w:style w:type="paragraph" w:styleId="Listennummer4">
    <w:name w:val="List Number 4"/>
    <w:basedOn w:val="Standard"/>
    <w:pPr>
      <w:numPr>
        <w:numId w:val="4"/>
      </w:numPr>
    </w:pPr>
  </w:style>
  <w:style w:type="paragraph" w:styleId="Listennummer5">
    <w:name w:val="List Number 5"/>
    <w:basedOn w:val="Standard"/>
    <w:pPr>
      <w:numPr>
        <w:numId w:val="5"/>
      </w:numPr>
    </w:pPr>
  </w:style>
  <w:style w:type="paragraph" w:styleId="StandardWeb">
    <w:name w:val="Normal (Web)"/>
    <w:basedOn w:val="Standard"/>
  </w:style>
  <w:style w:type="paragraph" w:styleId="Standardeinzug">
    <w:name w:val="Normal Indent"/>
    <w:basedOn w:val="Standard"/>
    <w:pPr>
      <w:ind w:left="708"/>
    </w:pPr>
  </w:style>
  <w:style w:type="paragraph" w:styleId="Umschlagabsenderadresse">
    <w:name w:val="envelope return"/>
    <w:basedOn w:val="Standard"/>
    <w:rPr>
      <w:sz w:val="20"/>
    </w:rPr>
  </w:style>
  <w:style w:type="paragraph" w:styleId="Umschlagadresse">
    <w:name w:val="envelope address"/>
    <w:basedOn w:val="Standard"/>
    <w:pPr>
      <w:framePr w:w="4320" w:h="2160" w:hRule="exact" w:hSpace="141" w:wrap="auto" w:hAnchor="page" w:xAlign="center" w:yAlign="bottom"/>
      <w:ind w:left="1"/>
    </w:pPr>
  </w:style>
  <w:style w:type="paragraph" w:styleId="Unterschrift">
    <w:name w:val="Signature"/>
    <w:basedOn w:val="Standard"/>
    <w:pPr>
      <w:ind w:left="4252"/>
    </w:pPr>
  </w:style>
  <w:style w:type="paragraph" w:customStyle="1" w:styleId="-OlWIRAufzhlung-">
    <w:name w:val="- OlWIR Aufzählung -"/>
    <w:basedOn w:val="-OlWIRStandardtext-"/>
    <w:rsid w:val="00831E07"/>
    <w:pPr>
      <w:numPr>
        <w:numId w:val="9"/>
      </w:numPr>
      <w:spacing w:after="80" w:line="270" w:lineRule="exact"/>
    </w:pPr>
    <w:rPr>
      <w:rFonts w:ascii="IowanOldSt BT" w:hAnsi="IowanOldSt BT"/>
      <w:bCs/>
      <w:iCs/>
      <w:szCs w:val="21"/>
    </w:rPr>
  </w:style>
  <w:style w:type="paragraph" w:customStyle="1" w:styleId="-OlWIRberschrift5-">
    <w:name w:val="- OlWIR Überschrift 5 -"/>
    <w:basedOn w:val="berschrift5"/>
    <w:next w:val="-OlWIRStandardtext-"/>
    <w:rsid w:val="0018789E"/>
    <w:pPr>
      <w:keepNext/>
      <w:tabs>
        <w:tab w:val="left" w:pos="454"/>
      </w:tabs>
      <w:outlineLvl w:val="5"/>
    </w:pPr>
    <w:rPr>
      <w:rFonts w:ascii="Trebuchet MS" w:hAnsi="Trebuchet MS"/>
      <w:b w:val="0"/>
      <w:i w:val="0"/>
      <w:sz w:val="22"/>
    </w:rPr>
  </w:style>
  <w:style w:type="paragraph" w:customStyle="1" w:styleId="-OlWIRAbkVerz-">
    <w:name w:val="- OlWIR AbkVerz -"/>
    <w:basedOn w:val="-OlWIRStandardtext-"/>
    <w:pPr>
      <w:spacing w:after="0"/>
      <w:ind w:left="1418" w:hanging="1418"/>
      <w:jc w:val="left"/>
    </w:pPr>
  </w:style>
  <w:style w:type="paragraph" w:customStyle="1" w:styleId="-OlWIRAbbBeschriftung-">
    <w:name w:val="- OlWIR Abb. Beschriftung -"/>
    <w:next w:val="-OlWIRStandardtext-"/>
    <w:rsid w:val="00B25044"/>
    <w:pPr>
      <w:numPr>
        <w:numId w:val="8"/>
      </w:numPr>
      <w:spacing w:before="240" w:line="270" w:lineRule="exact"/>
      <w:jc w:val="center"/>
    </w:pPr>
    <w:rPr>
      <w:rFonts w:ascii="Trebuchet MS" w:hAnsi="Trebuchet MS"/>
      <w:i/>
      <w:noProof/>
      <w:sz w:val="21"/>
    </w:rPr>
  </w:style>
  <w:style w:type="paragraph" w:customStyle="1" w:styleId="-OlWIRBeitragstitel-">
    <w:name w:val="- OlWIR Beitragstitel -"/>
    <w:next w:val="-OlWIRBeitragsautoren-"/>
    <w:rsid w:val="002B344D"/>
    <w:pPr>
      <w:pageBreakBefore/>
      <w:numPr>
        <w:numId w:val="6"/>
      </w:numPr>
      <w:outlineLvl w:val="0"/>
    </w:pPr>
    <w:rPr>
      <w:rFonts w:ascii="Trebuchet MS" w:hAnsi="Trebuchet MS"/>
      <w:b/>
      <w:caps/>
      <w:color w:val="808080"/>
      <w:sz w:val="40"/>
      <w:szCs w:val="24"/>
    </w:rPr>
  </w:style>
  <w:style w:type="paragraph" w:customStyle="1" w:styleId="-OlWIRKopfzeile-">
    <w:name w:val="- OlWIR Kopfzeile -"/>
    <w:rsid w:val="00A47550"/>
    <w:pPr>
      <w:pBdr>
        <w:bottom w:val="single" w:sz="4" w:space="1" w:color="auto"/>
      </w:pBdr>
      <w:tabs>
        <w:tab w:val="center" w:pos="4536"/>
        <w:tab w:val="right" w:pos="9072"/>
      </w:tabs>
    </w:pPr>
    <w:rPr>
      <w:rFonts w:ascii="Trebuchet MS" w:hAnsi="Trebuchet MS"/>
      <w:b/>
      <w:caps/>
      <w:color w:val="808080"/>
      <w:szCs w:val="24"/>
    </w:rPr>
  </w:style>
  <w:style w:type="paragraph" w:customStyle="1" w:styleId="-OlWIRLiteratureintrag-">
    <w:name w:val="- OlWIR Literatureintrag -"/>
    <w:basedOn w:val="-OlWIRStandardtext-"/>
    <w:rsid w:val="00E11CD9"/>
    <w:pPr>
      <w:spacing w:after="60"/>
      <w:ind w:left="425" w:hanging="425"/>
    </w:pPr>
  </w:style>
  <w:style w:type="paragraph" w:customStyle="1" w:styleId="-OlWIRSeitenumbruchoberhalb-">
    <w:name w:val="- OlWIR Seitenumbruch oberhalb -"/>
    <w:basedOn w:val="-OlWIRStandardtext-"/>
    <w:pPr>
      <w:pageBreakBefore/>
    </w:pPr>
  </w:style>
  <w:style w:type="paragraph" w:customStyle="1" w:styleId="Autor">
    <w:name w:val="Autor"/>
    <w:basedOn w:val="Funotentext"/>
    <w:rPr>
      <w:smallCaps/>
    </w:rPr>
  </w:style>
  <w:style w:type="paragraph" w:customStyle="1" w:styleId="-OlWIRberschrift2-">
    <w:name w:val="- OlWIR Überschrift 2 -"/>
    <w:next w:val="-OlWIRStandardtext-"/>
    <w:rsid w:val="002B344D"/>
    <w:pPr>
      <w:keepNext/>
      <w:numPr>
        <w:ilvl w:val="2"/>
        <w:numId w:val="6"/>
      </w:numPr>
      <w:spacing w:before="240" w:after="80"/>
      <w:outlineLvl w:val="2"/>
    </w:pPr>
    <w:rPr>
      <w:rFonts w:ascii="Trebuchet MS" w:hAnsi="Trebuchet MS"/>
      <w:b/>
      <w:sz w:val="28"/>
      <w:szCs w:val="24"/>
    </w:rPr>
  </w:style>
  <w:style w:type="paragraph" w:customStyle="1" w:styleId="-OlWIRberschrift3-">
    <w:name w:val="- OlWIR Überschrift 3 -"/>
    <w:next w:val="-OlWIRStandardtext-"/>
    <w:rsid w:val="002B344D"/>
    <w:pPr>
      <w:keepNext/>
      <w:numPr>
        <w:ilvl w:val="3"/>
        <w:numId w:val="6"/>
      </w:numPr>
      <w:spacing w:before="120" w:after="80"/>
      <w:outlineLvl w:val="3"/>
    </w:pPr>
    <w:rPr>
      <w:rFonts w:ascii="Trebuchet MS" w:hAnsi="Trebuchet MS"/>
      <w:sz w:val="27"/>
      <w:szCs w:val="24"/>
    </w:rPr>
  </w:style>
  <w:style w:type="paragraph" w:customStyle="1" w:styleId="-OlWIRberschrift4-">
    <w:name w:val="- OlWIR Überschrift 4 -"/>
    <w:basedOn w:val="-OlWIRberschrift3-"/>
    <w:next w:val="-OlWIRStandardtext-"/>
    <w:rsid w:val="00B25044"/>
    <w:pPr>
      <w:numPr>
        <w:ilvl w:val="4"/>
      </w:numPr>
      <w:spacing w:after="60"/>
      <w:outlineLvl w:val="4"/>
    </w:pPr>
  </w:style>
  <w:style w:type="paragraph" w:customStyle="1" w:styleId="-OlWIRberschrift6-">
    <w:name w:val="- OlWIR Überschrift 6 -"/>
    <w:basedOn w:val="berschrift6"/>
    <w:next w:val="-OlWIRStandardtext-"/>
    <w:rsid w:val="0018789E"/>
    <w:pPr>
      <w:numPr>
        <w:ilvl w:val="5"/>
        <w:numId w:val="7"/>
      </w:numPr>
      <w:outlineLvl w:val="6"/>
    </w:pPr>
    <w:rPr>
      <w:rFonts w:ascii="Trebuchet MS" w:hAnsi="Trebuchet MS"/>
      <w:b w:val="0"/>
    </w:rPr>
  </w:style>
  <w:style w:type="paragraph" w:customStyle="1" w:styleId="-OlWIRZwischenberschrift-">
    <w:name w:val="- OlWIR Zwischenüberschrift -"/>
    <w:basedOn w:val="-OlWIRStandardtext-"/>
    <w:next w:val="Standard"/>
    <w:pPr>
      <w:keepNext/>
      <w:spacing w:before="100" w:beforeAutospacing="1" w:after="100" w:afterAutospacing="1"/>
    </w:pPr>
    <w:rPr>
      <w:b/>
      <w:bCs/>
      <w:i/>
      <w:iCs/>
    </w:rPr>
  </w:style>
  <w:style w:type="paragraph" w:customStyle="1" w:styleId="Beispiel">
    <w:name w:val="Beispiel"/>
    <w:autoRedefine/>
    <w:pPr>
      <w:widowControl w:val="0"/>
      <w:autoSpaceDE w:val="0"/>
      <w:autoSpaceDN w:val="0"/>
      <w:adjustRightInd w:val="0"/>
      <w:spacing w:before="300" w:after="300" w:line="300" w:lineRule="atLeast"/>
      <w:jc w:val="both"/>
    </w:pPr>
    <w:rPr>
      <w:b/>
      <w:spacing w:val="5"/>
      <w:sz w:val="24"/>
      <w:szCs w:val="26"/>
    </w:rPr>
  </w:style>
  <w:style w:type="character" w:styleId="BesuchterHyperlink">
    <w:name w:val="FollowedHyperlink"/>
    <w:basedOn w:val="Absatz-Standardschriftart"/>
    <w:rPr>
      <w:color w:val="800080"/>
      <w:u w:val="single"/>
    </w:rPr>
  </w:style>
  <w:style w:type="character" w:styleId="HTMLAkronym">
    <w:name w:val="HTML Acronym"/>
    <w:basedOn w:val="Absatz-Standardschriftart"/>
  </w:style>
  <w:style w:type="character" w:styleId="HTMLBeispiel">
    <w:name w:val="HTML Sample"/>
    <w:basedOn w:val="Absatz-Standardschriftart"/>
    <w:rPr>
      <w:rFonts w:ascii="Courier New" w:hAnsi="Courier New" w:cs="Courier New"/>
    </w:rPr>
  </w:style>
  <w:style w:type="character" w:styleId="HTMLCode">
    <w:name w:val="HTML Code"/>
    <w:basedOn w:val="Absatz-Standardschriftart"/>
    <w:rPr>
      <w:rFonts w:ascii="Courier New" w:hAnsi="Courier New" w:cs="Courier New"/>
      <w:sz w:val="20"/>
      <w:szCs w:val="20"/>
    </w:rPr>
  </w:style>
  <w:style w:type="character" w:styleId="HTMLDefinition">
    <w:name w:val="HTML Definition"/>
    <w:basedOn w:val="Absatz-Standardschriftart"/>
    <w:rPr>
      <w:i/>
      <w:iCs/>
    </w:rPr>
  </w:style>
  <w:style w:type="character" w:styleId="HTMLSchreibmaschine">
    <w:name w:val="HTML Typewriter"/>
    <w:basedOn w:val="Absatz-Standardschriftart"/>
    <w:rPr>
      <w:rFonts w:ascii="Courier New" w:hAnsi="Courier New" w:cs="Courier New"/>
      <w:sz w:val="20"/>
      <w:szCs w:val="20"/>
    </w:rPr>
  </w:style>
  <w:style w:type="character" w:styleId="HTMLTastatur">
    <w:name w:val="HTML Keyboard"/>
    <w:basedOn w:val="Absatz-Standardschriftart"/>
    <w:rPr>
      <w:rFonts w:ascii="Courier New" w:hAnsi="Courier New" w:cs="Courier New"/>
      <w:sz w:val="20"/>
      <w:szCs w:val="20"/>
    </w:rPr>
  </w:style>
  <w:style w:type="character" w:styleId="HTMLVariable">
    <w:name w:val="HTML Variable"/>
    <w:basedOn w:val="Absatz-Standardschriftart"/>
    <w:rPr>
      <w:i/>
      <w:iCs/>
    </w:rPr>
  </w:style>
  <w:style w:type="character" w:styleId="HTMLZitat">
    <w:name w:val="HTML Cite"/>
    <w:basedOn w:val="Absatz-Standardschriftart"/>
    <w:rPr>
      <w:i/>
      <w:iCs/>
    </w:rPr>
  </w:style>
  <w:style w:type="paragraph" w:styleId="Kommentarthema">
    <w:name w:val="annotation subject"/>
    <w:basedOn w:val="Kommentartext"/>
    <w:next w:val="Kommentartext"/>
    <w:rPr>
      <w:b/>
      <w:bCs/>
    </w:rPr>
  </w:style>
  <w:style w:type="character" w:styleId="Kommentarzeichen">
    <w:name w:val="annotation reference"/>
    <w:basedOn w:val="Absatz-Standardschriftart"/>
    <w:rPr>
      <w:sz w:val="16"/>
      <w:szCs w:val="16"/>
    </w:rPr>
  </w:style>
  <w:style w:type="paragraph" w:styleId="Sprechblasentext">
    <w:name w:val="Balloon Text"/>
    <w:basedOn w:val="Standard"/>
    <w:rPr>
      <w:rFonts w:ascii="Tahoma" w:hAnsi="Tahoma" w:cs="Tahoma"/>
      <w:sz w:val="16"/>
      <w:szCs w:val="16"/>
    </w:rPr>
  </w:style>
  <w:style w:type="paragraph" w:customStyle="1" w:styleId="Tabelle">
    <w:name w:val="Tabelle"/>
    <w:pPr>
      <w:spacing w:after="360"/>
    </w:pPr>
    <w:rPr>
      <w:rFonts w:ascii="Swis721 BT" w:hAnsi="Swis721 BT" w:cs="Arial"/>
      <w:noProof/>
      <w:sz w:val="22"/>
      <w:szCs w:val="22"/>
    </w:rPr>
  </w:style>
  <w:style w:type="character" w:styleId="Zeilennummer">
    <w:name w:val="line number"/>
    <w:basedOn w:val="Absatz-Standardschriftart"/>
  </w:style>
  <w:style w:type="paragraph" w:customStyle="1" w:styleId="-OlWIRZusammenfassungTextEinzug-">
    <w:name w:val="- OlWIR Zusammenfassung Text Einzug -"/>
    <w:basedOn w:val="-OlWIRZusammenfassungText-"/>
    <w:rsid w:val="00682660"/>
    <w:pPr>
      <w:ind w:firstLine="170"/>
    </w:pPr>
  </w:style>
  <w:style w:type="paragraph" w:customStyle="1" w:styleId="-OlWIRAbbildung-">
    <w:name w:val="- OlWIR Abbildung -"/>
    <w:basedOn w:val="-OlWIRStandardtextEinzug-"/>
    <w:next w:val="-OlWIRAbbBeschriftung-"/>
    <w:rsid w:val="00B25044"/>
    <w:pPr>
      <w:keepNext/>
      <w:keepLines/>
      <w:spacing w:before="240" w:after="0" w:line="240" w:lineRule="auto"/>
      <w:ind w:firstLine="0"/>
      <w:jc w:val="center"/>
    </w:pPr>
  </w:style>
  <w:style w:type="paragraph" w:customStyle="1" w:styleId="-DissLiteratureintrag-">
    <w:name w:val="- Diss Literatureintrag -"/>
    <w:basedOn w:val="Standard"/>
    <w:rsid w:val="00E303F3"/>
    <w:pPr>
      <w:spacing w:after="60" w:line="300" w:lineRule="exact"/>
      <w:ind w:left="425" w:hanging="425"/>
      <w:jc w:val="both"/>
    </w:pPr>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Table" w:semiHidden="0" w:unhideWhenUsed="0"/>
    <w:lsdException w:name="Table Subtle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05D70"/>
    <w:rPr>
      <w:sz w:val="24"/>
      <w:szCs w:val="24"/>
    </w:rPr>
  </w:style>
  <w:style w:type="paragraph" w:styleId="berschrift1">
    <w:name w:val="heading 1"/>
    <w:basedOn w:val="Standard"/>
    <w:next w:val="Standard"/>
    <w:qFormat/>
    <w:pPr>
      <w:keepNext/>
      <w:spacing w:before="240" w:after="60"/>
      <w:outlineLvl w:val="0"/>
    </w:pPr>
    <w:rPr>
      <w:b/>
      <w:bCs/>
      <w:kern w:val="32"/>
      <w:sz w:val="32"/>
      <w:szCs w:val="32"/>
    </w:rPr>
  </w:style>
  <w:style w:type="paragraph" w:styleId="berschrift2">
    <w:name w:val="heading 2"/>
    <w:basedOn w:val="Standard"/>
    <w:next w:val="Standard"/>
    <w:qFormat/>
    <w:pPr>
      <w:tabs>
        <w:tab w:val="left" w:pos="397"/>
      </w:tabs>
      <w:spacing w:before="240" w:after="60" w:line="320" w:lineRule="exact"/>
      <w:outlineLvl w:val="1"/>
    </w:pPr>
    <w:rPr>
      <w:b/>
      <w:bCs/>
      <w:iCs/>
      <w:szCs w:val="28"/>
    </w:rPr>
  </w:style>
  <w:style w:type="paragraph" w:styleId="berschrift3">
    <w:name w:val="heading 3"/>
    <w:basedOn w:val="Standard"/>
    <w:next w:val="Standard"/>
    <w:qFormat/>
    <w:pPr>
      <w:keepNext/>
      <w:spacing w:before="240" w:after="60"/>
      <w:jc w:val="center"/>
      <w:outlineLvl w:val="2"/>
    </w:pPr>
    <w:rPr>
      <w:b/>
      <w:bCs/>
      <w:szCs w:val="26"/>
    </w:rPr>
  </w:style>
  <w:style w:type="paragraph" w:styleId="berschrift4">
    <w:name w:val="heading 4"/>
    <w:basedOn w:val="Standard"/>
    <w:next w:val="Standard"/>
    <w:qFormat/>
    <w:pPr>
      <w:keepNext/>
      <w:spacing w:before="240" w:after="60"/>
      <w:outlineLvl w:val="3"/>
    </w:pPr>
    <w:rPr>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b/>
      <w:bCs/>
    </w:rPr>
  </w:style>
  <w:style w:type="paragraph" w:styleId="berschrift7">
    <w:name w:val="heading 7"/>
    <w:aliases w:val="A Buchtitel"/>
    <w:next w:val="Standard"/>
    <w:qFormat/>
    <w:pPr>
      <w:tabs>
        <w:tab w:val="left" w:pos="720"/>
      </w:tabs>
      <w:overflowPunct w:val="0"/>
      <w:spacing w:before="240" w:after="60"/>
      <w:textAlignment w:val="baseline"/>
      <w:outlineLvl w:val="6"/>
    </w:pPr>
    <w:rPr>
      <w:rFonts w:ascii="Swis721 Ex BT" w:hAnsi="Swis721 Ex BT"/>
      <w:noProof/>
      <w:szCs w:val="22"/>
    </w:rPr>
  </w:style>
  <w:style w:type="paragraph" w:styleId="berschrift8">
    <w:name w:val="heading 8"/>
    <w:basedOn w:val="Standard"/>
    <w:next w:val="Standard"/>
    <w:qFormat/>
    <w:pPr>
      <w:spacing w:before="240" w:after="60" w:line="320" w:lineRule="exact"/>
      <w:jc w:val="both"/>
      <w:outlineLvl w:val="7"/>
    </w:pPr>
    <w:rPr>
      <w:i/>
      <w:iCs/>
    </w:rPr>
  </w:style>
  <w:style w:type="paragraph" w:styleId="berschrift9">
    <w:name w:val="heading 9"/>
    <w:basedOn w:val="Standard"/>
    <w:next w:val="Standard"/>
    <w:qFormat/>
    <w:pPr>
      <w:tabs>
        <w:tab w:val="left" w:pos="720"/>
      </w:tabs>
      <w:overflowPunct w:val="0"/>
      <w:spacing w:before="240" w:after="60"/>
      <w:textAlignment w:val="baseline"/>
      <w:outlineLvl w:val="8"/>
    </w:pPr>
    <w:rPr>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unotenzeichen">
    <w:name w:val="footnote reference"/>
    <w:semiHidden/>
    <w:rsid w:val="00C701B9"/>
    <w:rPr>
      <w:rFonts w:ascii="IowanOldSt BT" w:hAnsi="IowanOldSt BT"/>
      <w:sz w:val="20"/>
      <w:vertAlign w:val="superscript"/>
    </w:rPr>
  </w:style>
  <w:style w:type="paragraph" w:customStyle="1" w:styleId="-OlWIRBeitragsautoren-">
    <w:name w:val="- OlWIR Beitragsautoren -"/>
    <w:next w:val="-OlWIRBeitragsautorenAdresse-"/>
    <w:rsid w:val="00A600BC"/>
    <w:pPr>
      <w:spacing w:before="240"/>
      <w:ind w:left="1134"/>
      <w:contextualSpacing/>
    </w:pPr>
    <w:rPr>
      <w:rFonts w:ascii="Trebuchet MS" w:hAnsi="Trebuchet MS"/>
      <w:sz w:val="26"/>
    </w:rPr>
  </w:style>
  <w:style w:type="paragraph" w:customStyle="1" w:styleId="-OlWIRBeitragsautorenAdresse-">
    <w:name w:val="- OlWIR Beitragsautoren Adresse -"/>
    <w:next w:val="-OlWIRZusammenfassung-"/>
    <w:rsid w:val="002B344D"/>
    <w:pPr>
      <w:spacing w:before="240"/>
      <w:ind w:left="1134"/>
      <w:contextualSpacing/>
    </w:pPr>
    <w:rPr>
      <w:rFonts w:ascii="Trebuchet MS" w:hAnsi="Trebuchet MS"/>
      <w:sz w:val="24"/>
    </w:rPr>
  </w:style>
  <w:style w:type="paragraph" w:customStyle="1" w:styleId="-OlWIRZusammenfassung-">
    <w:name w:val="- OlWIR Zusammenfassung -"/>
    <w:next w:val="-OlWIRZusammenfassungText-"/>
    <w:rsid w:val="0059430F"/>
    <w:pPr>
      <w:spacing w:before="600" w:after="120"/>
    </w:pPr>
    <w:rPr>
      <w:rFonts w:ascii="Trebuchet MS" w:hAnsi="Trebuchet MS"/>
      <w:b/>
      <w:color w:val="808080"/>
      <w:sz w:val="28"/>
    </w:rPr>
  </w:style>
  <w:style w:type="paragraph" w:customStyle="1" w:styleId="-OlWIRZusammenfassungText-">
    <w:name w:val="- OlWIR Zusammenfassung Text -"/>
    <w:next w:val="-OlWIRberschrift1-"/>
    <w:rsid w:val="00E303F3"/>
    <w:pPr>
      <w:spacing w:after="360" w:line="240" w:lineRule="exact"/>
      <w:jc w:val="both"/>
    </w:pPr>
    <w:rPr>
      <w:sz w:val="23"/>
    </w:rPr>
  </w:style>
  <w:style w:type="paragraph" w:customStyle="1" w:styleId="-OlWIRberschrift1-">
    <w:name w:val="- OlWIR Überschrift 1 -"/>
    <w:next w:val="-OlWIRStandardtext-"/>
    <w:rsid w:val="0018789E"/>
    <w:pPr>
      <w:keepNext/>
      <w:numPr>
        <w:ilvl w:val="1"/>
        <w:numId w:val="6"/>
      </w:numPr>
      <w:suppressAutoHyphens/>
      <w:spacing w:before="240" w:after="240"/>
      <w:outlineLvl w:val="1"/>
    </w:pPr>
    <w:rPr>
      <w:rFonts w:ascii="Trebuchet MS" w:hAnsi="Trebuchet MS"/>
      <w:b/>
      <w:color w:val="808080"/>
      <w:sz w:val="32"/>
      <w:szCs w:val="24"/>
    </w:rPr>
  </w:style>
  <w:style w:type="paragraph" w:customStyle="1" w:styleId="-OlWIRStandardtext-">
    <w:name w:val="- OlWIR Standardtext -"/>
    <w:next w:val="-OlWIRStandardtextEinzug-"/>
    <w:rsid w:val="00E303F3"/>
    <w:pPr>
      <w:spacing w:after="120" w:line="320" w:lineRule="exact"/>
      <w:jc w:val="both"/>
    </w:pPr>
    <w:rPr>
      <w:color w:val="000000"/>
      <w:sz w:val="26"/>
      <w:szCs w:val="24"/>
    </w:rPr>
  </w:style>
  <w:style w:type="paragraph" w:customStyle="1" w:styleId="-OlWIRStandardtextEinzug-">
    <w:name w:val="- OlWIR Standardtext Einzug -"/>
    <w:basedOn w:val="-OlWIRStandardtext-"/>
    <w:pPr>
      <w:ind w:firstLine="210"/>
    </w:pPr>
  </w:style>
  <w:style w:type="character" w:styleId="Hyperlink">
    <w:name w:val="Hyperlink"/>
    <w:basedOn w:val="Absatz-Standardschriftart"/>
    <w:rPr>
      <w:rFonts w:ascii="Arial" w:hAnsi="Arial"/>
      <w:b/>
      <w:color w:val="0000FF"/>
      <w:sz w:val="26"/>
      <w:u w:val="none"/>
    </w:rPr>
  </w:style>
  <w:style w:type="character" w:styleId="Endnotenzeichen">
    <w:name w:val="endnote reference"/>
  </w:style>
  <w:style w:type="paragraph" w:customStyle="1" w:styleId="-OlWIRberschrift-">
    <w:name w:val="- OlWIR Überschrift -"/>
    <w:next w:val="-OlWIRStandardtext-"/>
    <w:pPr>
      <w:spacing w:after="240"/>
      <w:jc w:val="both"/>
    </w:pPr>
    <w:rPr>
      <w:rFonts w:ascii="Trebuchet MS" w:hAnsi="Trebuchet MS" w:cs="Arial"/>
      <w:b/>
      <w:sz w:val="22"/>
      <w:szCs w:val="22"/>
    </w:rPr>
  </w:style>
  <w:style w:type="paragraph" w:styleId="Liste">
    <w:name w:val="List"/>
    <w:basedOn w:val="Standard"/>
    <w:pPr>
      <w:ind w:left="283" w:hanging="283"/>
    </w:pPr>
  </w:style>
  <w:style w:type="paragraph" w:styleId="Kopfzeile">
    <w:name w:val="header"/>
    <w:rsid w:val="00ED4E06"/>
    <w:pPr>
      <w:tabs>
        <w:tab w:val="center" w:pos="4536"/>
        <w:tab w:val="right" w:pos="9072"/>
      </w:tabs>
    </w:pPr>
    <w:rPr>
      <w:rFonts w:ascii="IowanOldSt BT" w:hAnsi="IowanOldSt BT"/>
      <w:sz w:val="21"/>
      <w:szCs w:val="24"/>
    </w:rPr>
  </w:style>
  <w:style w:type="paragraph" w:styleId="Fuzeile">
    <w:name w:val="footer"/>
    <w:basedOn w:val="Standard"/>
    <w:pPr>
      <w:tabs>
        <w:tab w:val="center" w:pos="4536"/>
        <w:tab w:val="right" w:pos="9072"/>
      </w:tabs>
    </w:pPr>
  </w:style>
  <w:style w:type="paragraph" w:styleId="Beschriftung">
    <w:name w:val="caption"/>
    <w:basedOn w:val="Standard"/>
    <w:next w:val="Standard"/>
    <w:qFormat/>
    <w:rPr>
      <w:b/>
      <w:bCs/>
      <w:sz w:val="20"/>
      <w:szCs w:val="20"/>
    </w:rPr>
  </w:style>
  <w:style w:type="paragraph" w:styleId="Funotentext">
    <w:name w:val="footnote text"/>
    <w:basedOn w:val="Standard"/>
    <w:rsid w:val="00DB6548"/>
    <w:pPr>
      <w:tabs>
        <w:tab w:val="left" w:pos="312"/>
      </w:tabs>
      <w:ind w:left="312" w:hanging="312"/>
      <w:jc w:val="both"/>
    </w:pPr>
    <w:rPr>
      <w:sz w:val="21"/>
    </w:rPr>
  </w:style>
  <w:style w:type="paragraph" w:customStyle="1" w:styleId="Verzeichnis">
    <w:name w:val="Verzeichnis"/>
    <w:basedOn w:val="Standard"/>
    <w:pPr>
      <w:suppressLineNumbers/>
    </w:pPr>
    <w:rPr>
      <w:rFonts w:cs="Tahoma"/>
    </w:rPr>
  </w:style>
  <w:style w:type="paragraph" w:customStyle="1" w:styleId="Inhaltsverzeichnisberschrift">
    <w:name w:val="Inhaltsverzeichnis Überschrift"/>
    <w:basedOn w:val="Standard"/>
    <w:rsid w:val="001D0DA8"/>
    <w:pPr>
      <w:keepNext/>
      <w:suppressLineNumbers/>
      <w:spacing w:before="240" w:after="120"/>
    </w:pPr>
    <w:rPr>
      <w:rFonts w:ascii="Arial" w:eastAsia="Lucida Sans Unicode" w:hAnsi="Arial" w:cs="Tahoma"/>
      <w:bCs/>
      <w:sz w:val="28"/>
      <w:szCs w:val="32"/>
    </w:rPr>
  </w:style>
  <w:style w:type="paragraph" w:styleId="Verzeichnis1">
    <w:name w:val="toc 1"/>
    <w:basedOn w:val="Standard"/>
    <w:next w:val="Standard"/>
    <w:semiHidden/>
    <w:rsid w:val="00D05F2B"/>
    <w:pPr>
      <w:tabs>
        <w:tab w:val="left" w:pos="709"/>
        <w:tab w:val="right" w:leader="dot" w:pos="7655"/>
      </w:tabs>
      <w:spacing w:before="360" w:after="240"/>
      <w:ind w:left="709" w:hanging="709"/>
    </w:pPr>
    <w:rPr>
      <w:rFonts w:ascii="Trebuchet MS" w:hAnsi="Trebuchet MS"/>
      <w:b/>
      <w:caps/>
      <w:color w:val="808080"/>
    </w:rPr>
  </w:style>
  <w:style w:type="paragraph" w:styleId="Verzeichnis2">
    <w:name w:val="toc 2"/>
    <w:basedOn w:val="Standard"/>
    <w:next w:val="Standard"/>
    <w:semiHidden/>
    <w:rsid w:val="00D05F2B"/>
    <w:pPr>
      <w:keepNext/>
      <w:keepLines/>
      <w:tabs>
        <w:tab w:val="left" w:pos="425"/>
        <w:tab w:val="right" w:leader="dot" w:pos="7655"/>
      </w:tabs>
      <w:spacing w:before="240" w:after="160"/>
      <w:ind w:left="425" w:right="284" w:hanging="425"/>
    </w:pPr>
    <w:rPr>
      <w:rFonts w:ascii="Trebuchet MS" w:hAnsi="Trebuchet MS"/>
      <w:b/>
      <w:color w:val="808080"/>
    </w:rPr>
  </w:style>
  <w:style w:type="paragraph" w:styleId="Verzeichnis3">
    <w:name w:val="toc 3"/>
    <w:basedOn w:val="Standard"/>
    <w:next w:val="Standard"/>
    <w:semiHidden/>
    <w:rsid w:val="00D05F2B"/>
    <w:pPr>
      <w:tabs>
        <w:tab w:val="left" w:pos="284"/>
        <w:tab w:val="right" w:leader="dot" w:pos="7655"/>
      </w:tabs>
      <w:spacing w:before="80" w:line="260" w:lineRule="exact"/>
      <w:ind w:left="284" w:right="567" w:hanging="284"/>
    </w:pPr>
    <w:rPr>
      <w:rFonts w:ascii="Trebuchet MS" w:hAnsi="Trebuchet MS"/>
      <w:sz w:val="20"/>
    </w:rPr>
  </w:style>
  <w:style w:type="paragraph" w:styleId="Verzeichnis4">
    <w:name w:val="toc 4"/>
    <w:semiHidden/>
    <w:rsid w:val="00D05F2B"/>
    <w:pPr>
      <w:keepLines/>
      <w:tabs>
        <w:tab w:val="left" w:pos="284"/>
        <w:tab w:val="right" w:leader="dot" w:pos="7655"/>
      </w:tabs>
      <w:spacing w:before="80"/>
      <w:ind w:left="568" w:right="851" w:hanging="284"/>
    </w:pPr>
    <w:rPr>
      <w:rFonts w:ascii="Trebuchet MS" w:hAnsi="Trebuchet MS"/>
      <w:noProof/>
      <w:szCs w:val="24"/>
    </w:rPr>
  </w:style>
  <w:style w:type="paragraph" w:styleId="Verzeichnis5">
    <w:name w:val="toc 5"/>
    <w:basedOn w:val="Standard"/>
    <w:next w:val="Standard"/>
    <w:semiHidden/>
    <w:rsid w:val="00D05F2B"/>
    <w:pPr>
      <w:tabs>
        <w:tab w:val="left" w:pos="851"/>
        <w:tab w:val="right" w:leader="dot" w:pos="7655"/>
      </w:tabs>
      <w:spacing w:before="80"/>
      <w:ind w:left="851" w:right="567" w:hanging="284"/>
    </w:pPr>
    <w:rPr>
      <w:rFonts w:ascii="Trebuchet MS" w:hAnsi="Trebuchet MS"/>
      <w:sz w:val="20"/>
    </w:rPr>
  </w:style>
  <w:style w:type="paragraph" w:styleId="Verzeichnis6">
    <w:name w:val="toc 6"/>
    <w:basedOn w:val="Standard"/>
    <w:next w:val="Standard"/>
    <w:autoRedefine/>
    <w:semiHidden/>
    <w:rsid w:val="00D05F2B"/>
    <w:pPr>
      <w:ind w:left="1200"/>
    </w:pPr>
    <w:rPr>
      <w:noProof/>
    </w:rPr>
  </w:style>
  <w:style w:type="character" w:styleId="Seitenzahl">
    <w:name w:val="page number"/>
    <w:basedOn w:val="Absatz-Standardschriftart"/>
    <w:rsid w:val="00B25044"/>
    <w:rPr>
      <w:rFonts w:ascii="IowanOldSt BT" w:hAnsi="IowanOldSt BT"/>
      <w:sz w:val="24"/>
    </w:rPr>
  </w:style>
  <w:style w:type="paragraph" w:styleId="Untertitel">
    <w:name w:val="Subtitle"/>
    <w:basedOn w:val="Standard"/>
    <w:qFormat/>
    <w:pPr>
      <w:spacing w:after="60"/>
      <w:jc w:val="center"/>
      <w:outlineLvl w:val="1"/>
    </w:pPr>
  </w:style>
  <w:style w:type="paragraph" w:styleId="Endnotentext">
    <w:name w:val="endnote text"/>
    <w:basedOn w:val="Standard"/>
    <w:rPr>
      <w:sz w:val="20"/>
      <w:szCs w:val="20"/>
    </w:rPr>
  </w:style>
  <w:style w:type="paragraph" w:styleId="Textkrper2">
    <w:name w:val="Body Text 2"/>
    <w:basedOn w:val="Standard"/>
    <w:pPr>
      <w:spacing w:after="120" w:line="480" w:lineRule="auto"/>
    </w:pPr>
  </w:style>
  <w:style w:type="character" w:styleId="Hervorhebung">
    <w:name w:val="Emphasis"/>
    <w:basedOn w:val="Absatz-Standardschriftart"/>
    <w:qFormat/>
    <w:rPr>
      <w:i/>
      <w:iCs/>
    </w:rPr>
  </w:style>
  <w:style w:type="paragraph" w:styleId="Index1">
    <w:name w:val="index 1"/>
    <w:basedOn w:val="Standard"/>
    <w:next w:val="Standard"/>
    <w:autoRedefine/>
    <w:pPr>
      <w:ind w:left="220" w:hanging="220"/>
    </w:pPr>
  </w:style>
  <w:style w:type="paragraph" w:styleId="Indexberschrift">
    <w:name w:val="index heading"/>
    <w:basedOn w:val="Standard"/>
    <w:next w:val="Index1"/>
    <w:rPr>
      <w:rFonts w:ascii="Arial" w:hAnsi="Arial"/>
      <w:b/>
      <w:bCs/>
    </w:rPr>
  </w:style>
  <w:style w:type="paragraph" w:styleId="Listenfortsetzung">
    <w:name w:val="List Continue"/>
    <w:basedOn w:val="Standard"/>
    <w:pPr>
      <w:spacing w:after="120"/>
      <w:ind w:left="283"/>
    </w:pPr>
  </w:style>
  <w:style w:type="paragraph" w:styleId="Liste2">
    <w:name w:val="List 2"/>
    <w:basedOn w:val="Standard"/>
    <w:pPr>
      <w:ind w:left="566" w:hanging="283"/>
    </w:pPr>
  </w:style>
  <w:style w:type="paragraph" w:styleId="Liste3">
    <w:name w:val="List 3"/>
    <w:basedOn w:val="Standard"/>
    <w:pPr>
      <w:ind w:left="849" w:hanging="283"/>
    </w:pPr>
  </w:style>
  <w:style w:type="paragraph" w:styleId="Liste4">
    <w:name w:val="List 4"/>
    <w:basedOn w:val="Standard"/>
    <w:pPr>
      <w:ind w:left="1132" w:hanging="283"/>
    </w:pPr>
  </w:style>
  <w:style w:type="paragraph" w:styleId="Liste5">
    <w:name w:val="List 5"/>
    <w:basedOn w:val="Standard"/>
    <w:pPr>
      <w:ind w:left="1415" w:hanging="283"/>
    </w:pPr>
  </w:style>
  <w:style w:type="paragraph" w:styleId="Listenfortsetzung2">
    <w:name w:val="List Continue 2"/>
    <w:basedOn w:val="Standard"/>
    <w:pPr>
      <w:spacing w:after="120"/>
      <w:ind w:left="566"/>
    </w:pPr>
  </w:style>
  <w:style w:type="paragraph" w:styleId="Listenfortsetzung3">
    <w:name w:val="List Continue 3"/>
    <w:basedOn w:val="Standard"/>
    <w:pPr>
      <w:spacing w:after="120"/>
      <w:ind w:left="849"/>
    </w:pPr>
  </w:style>
  <w:style w:type="paragraph" w:styleId="Listenfortsetzung4">
    <w:name w:val="List Continue 4"/>
    <w:basedOn w:val="Standard"/>
    <w:pPr>
      <w:spacing w:after="120"/>
      <w:ind w:left="1132"/>
    </w:pPr>
  </w:style>
  <w:style w:type="paragraph" w:styleId="Listenfortsetzung5">
    <w:name w:val="List Continue 5"/>
    <w:basedOn w:val="Standard"/>
    <w:pPr>
      <w:spacing w:after="120"/>
      <w:ind w:left="1415"/>
    </w:pPr>
  </w:style>
  <w:style w:type="paragraph" w:styleId="Verzeichnis7">
    <w:name w:val="toc 7"/>
    <w:basedOn w:val="Standard"/>
    <w:next w:val="Standard"/>
    <w:pPr>
      <w:ind w:left="1440"/>
    </w:pPr>
    <w:rPr>
      <w:sz w:val="20"/>
      <w:szCs w:val="20"/>
    </w:rPr>
  </w:style>
  <w:style w:type="paragraph" w:styleId="Verzeichnis8">
    <w:name w:val="toc 8"/>
    <w:basedOn w:val="Standard"/>
    <w:next w:val="Standard"/>
    <w:autoRedefine/>
    <w:pPr>
      <w:ind w:left="1680"/>
    </w:pPr>
    <w:rPr>
      <w:sz w:val="20"/>
      <w:szCs w:val="20"/>
    </w:rPr>
  </w:style>
  <w:style w:type="paragraph" w:styleId="Verzeichnis9">
    <w:name w:val="toc 9"/>
    <w:basedOn w:val="Standard"/>
    <w:next w:val="Standard"/>
    <w:autoRedefine/>
    <w:pPr>
      <w:ind w:left="1920"/>
    </w:pPr>
    <w:rPr>
      <w:sz w:val="20"/>
      <w:szCs w:val="20"/>
    </w:rPr>
  </w:style>
  <w:style w:type="paragraph" w:styleId="Titel">
    <w:name w:val="Title"/>
    <w:basedOn w:val="Standard"/>
    <w:qFormat/>
    <w:pPr>
      <w:overflowPunct w:val="0"/>
      <w:spacing w:before="240" w:after="60"/>
      <w:jc w:val="center"/>
      <w:textAlignment w:val="baseline"/>
      <w:outlineLvl w:val="0"/>
    </w:pPr>
    <w:rPr>
      <w:b/>
      <w:bCs/>
      <w:kern w:val="28"/>
      <w:sz w:val="32"/>
      <w:szCs w:val="32"/>
    </w:rPr>
  </w:style>
  <w:style w:type="paragraph" w:customStyle="1" w:styleId="Urteilszitat">
    <w:name w:val="Urteilszitat"/>
    <w:basedOn w:val="Standard"/>
    <w:next w:val="-OlWIRberschrift-"/>
    <w:pPr>
      <w:overflowPunct w:val="0"/>
      <w:ind w:left="425" w:right="425"/>
      <w:textAlignment w:val="baseline"/>
    </w:pPr>
    <w:rPr>
      <w:rFonts w:ascii="IowanOldSt BT" w:hAnsi="IowanOldSt BT"/>
      <w:sz w:val="28"/>
      <w:szCs w:val="20"/>
      <w:vertAlign w:val="superscript"/>
    </w:rPr>
  </w:style>
  <w:style w:type="paragraph" w:styleId="Datum">
    <w:name w:val="Date"/>
    <w:basedOn w:val="Standard"/>
    <w:next w:val="Standard"/>
  </w:style>
  <w:style w:type="paragraph" w:styleId="Dokumentstruktur">
    <w:name w:val="Document Map"/>
    <w:basedOn w:val="Standard"/>
    <w:pPr>
      <w:shd w:val="clear" w:color="auto" w:fill="000080"/>
    </w:pPr>
    <w:rPr>
      <w:rFonts w:ascii="Tahoma" w:hAnsi="Tahoma" w:cs="Tahoma"/>
    </w:rPr>
  </w:style>
  <w:style w:type="paragraph" w:styleId="E-Mail-Signatur">
    <w:name w:val="E-mail Signature"/>
    <w:basedOn w:val="Standard"/>
  </w:style>
  <w:style w:type="paragraph" w:styleId="Fu-Endnotenberschrift">
    <w:name w:val="Note Heading"/>
    <w:basedOn w:val="Standard"/>
    <w:next w:val="Standard"/>
  </w:style>
  <w:style w:type="paragraph" w:styleId="Gruformel">
    <w:name w:val="Closing"/>
    <w:basedOn w:val="Standard"/>
    <w:pPr>
      <w:ind w:left="4252"/>
    </w:pPr>
  </w:style>
  <w:style w:type="paragraph" w:styleId="HTMLAdresse">
    <w:name w:val="HTML Address"/>
    <w:basedOn w:val="Standard"/>
    <w:rPr>
      <w:i/>
      <w:iCs/>
    </w:rPr>
  </w:style>
  <w:style w:type="paragraph" w:styleId="HTMLVorformatiert">
    <w:name w:val="HTML Preformatted"/>
    <w:basedOn w:val="Standard"/>
    <w:rPr>
      <w:rFonts w:ascii="Courier New" w:hAnsi="Courier New" w:cs="Courier New"/>
      <w:sz w:val="20"/>
    </w:rPr>
  </w:style>
  <w:style w:type="paragraph" w:styleId="Index2">
    <w:name w:val="index 2"/>
    <w:basedOn w:val="Standard"/>
    <w:next w:val="Standard"/>
    <w:autoRedefine/>
    <w:pPr>
      <w:ind w:left="440" w:hanging="220"/>
    </w:pPr>
  </w:style>
  <w:style w:type="paragraph" w:styleId="Index3">
    <w:name w:val="index 3"/>
    <w:basedOn w:val="Standard"/>
    <w:next w:val="Standard"/>
    <w:autoRedefine/>
    <w:pPr>
      <w:ind w:left="660" w:hanging="220"/>
    </w:pPr>
  </w:style>
  <w:style w:type="paragraph" w:styleId="Index4">
    <w:name w:val="index 4"/>
    <w:basedOn w:val="Standard"/>
    <w:next w:val="Standard"/>
    <w:autoRedefine/>
    <w:pPr>
      <w:ind w:left="880" w:hanging="220"/>
    </w:pPr>
  </w:style>
  <w:style w:type="paragraph" w:styleId="Index5">
    <w:name w:val="index 5"/>
    <w:basedOn w:val="Standard"/>
    <w:next w:val="Standard"/>
    <w:autoRedefine/>
    <w:pPr>
      <w:ind w:left="1100" w:hanging="220"/>
    </w:pPr>
  </w:style>
  <w:style w:type="paragraph" w:styleId="Index6">
    <w:name w:val="index 6"/>
    <w:basedOn w:val="Standard"/>
    <w:next w:val="Standard"/>
    <w:autoRedefine/>
    <w:pPr>
      <w:ind w:left="1320" w:hanging="220"/>
    </w:pPr>
  </w:style>
  <w:style w:type="paragraph" w:styleId="Index7">
    <w:name w:val="index 7"/>
    <w:basedOn w:val="Standard"/>
    <w:next w:val="Standard"/>
    <w:autoRedefine/>
    <w:pPr>
      <w:ind w:left="1540" w:hanging="220"/>
    </w:pPr>
  </w:style>
  <w:style w:type="paragraph" w:styleId="Index8">
    <w:name w:val="index 8"/>
    <w:basedOn w:val="Standard"/>
    <w:next w:val="Standard"/>
    <w:autoRedefine/>
    <w:pPr>
      <w:ind w:left="1760" w:hanging="220"/>
    </w:pPr>
  </w:style>
  <w:style w:type="paragraph" w:styleId="Index9">
    <w:name w:val="index 9"/>
    <w:basedOn w:val="Standard"/>
    <w:next w:val="Standard"/>
    <w:autoRedefine/>
    <w:pPr>
      <w:ind w:left="1980" w:hanging="220"/>
    </w:pPr>
  </w:style>
  <w:style w:type="paragraph" w:styleId="Kommentartext">
    <w:name w:val="annotation text"/>
    <w:basedOn w:val="Standard"/>
    <w:rPr>
      <w:sz w:val="20"/>
      <w:szCs w:val="20"/>
    </w:rPr>
  </w:style>
  <w:style w:type="paragraph" w:styleId="Listennummer">
    <w:name w:val="List Number"/>
    <w:basedOn w:val="Standard"/>
    <w:pPr>
      <w:numPr>
        <w:numId w:val="1"/>
      </w:numPr>
    </w:pPr>
  </w:style>
  <w:style w:type="paragraph" w:styleId="Listennummer2">
    <w:name w:val="List Number 2"/>
    <w:basedOn w:val="Standard"/>
    <w:pPr>
      <w:numPr>
        <w:numId w:val="2"/>
      </w:numPr>
    </w:pPr>
  </w:style>
  <w:style w:type="paragraph" w:styleId="Listennummer3">
    <w:name w:val="List Number 3"/>
    <w:basedOn w:val="Standard"/>
    <w:pPr>
      <w:numPr>
        <w:numId w:val="3"/>
      </w:numPr>
    </w:pPr>
  </w:style>
  <w:style w:type="paragraph" w:styleId="Listennummer4">
    <w:name w:val="List Number 4"/>
    <w:basedOn w:val="Standard"/>
    <w:pPr>
      <w:numPr>
        <w:numId w:val="4"/>
      </w:numPr>
    </w:pPr>
  </w:style>
  <w:style w:type="paragraph" w:styleId="Listennummer5">
    <w:name w:val="List Number 5"/>
    <w:basedOn w:val="Standard"/>
    <w:pPr>
      <w:numPr>
        <w:numId w:val="5"/>
      </w:numPr>
    </w:pPr>
  </w:style>
  <w:style w:type="paragraph" w:styleId="StandardWeb">
    <w:name w:val="Normal (Web)"/>
    <w:basedOn w:val="Standard"/>
  </w:style>
  <w:style w:type="paragraph" w:styleId="Standardeinzug">
    <w:name w:val="Normal Indent"/>
    <w:basedOn w:val="Standard"/>
    <w:pPr>
      <w:ind w:left="708"/>
    </w:pPr>
  </w:style>
  <w:style w:type="paragraph" w:styleId="Umschlagabsenderadresse">
    <w:name w:val="envelope return"/>
    <w:basedOn w:val="Standard"/>
    <w:rPr>
      <w:sz w:val="20"/>
    </w:rPr>
  </w:style>
  <w:style w:type="paragraph" w:styleId="Umschlagadresse">
    <w:name w:val="envelope address"/>
    <w:basedOn w:val="Standard"/>
    <w:pPr>
      <w:framePr w:w="4320" w:h="2160" w:hRule="exact" w:hSpace="141" w:wrap="auto" w:hAnchor="page" w:xAlign="center" w:yAlign="bottom"/>
      <w:ind w:left="1"/>
    </w:pPr>
  </w:style>
  <w:style w:type="paragraph" w:styleId="Unterschrift">
    <w:name w:val="Signature"/>
    <w:basedOn w:val="Standard"/>
    <w:pPr>
      <w:ind w:left="4252"/>
    </w:pPr>
  </w:style>
  <w:style w:type="paragraph" w:customStyle="1" w:styleId="-OlWIRAufzhlung-">
    <w:name w:val="- OlWIR Aufzählung -"/>
    <w:basedOn w:val="-OlWIRStandardtext-"/>
    <w:rsid w:val="00831E07"/>
    <w:pPr>
      <w:numPr>
        <w:numId w:val="9"/>
      </w:numPr>
      <w:spacing w:after="80" w:line="270" w:lineRule="exact"/>
    </w:pPr>
    <w:rPr>
      <w:rFonts w:ascii="IowanOldSt BT" w:hAnsi="IowanOldSt BT"/>
      <w:bCs/>
      <w:iCs/>
      <w:szCs w:val="21"/>
    </w:rPr>
  </w:style>
  <w:style w:type="paragraph" w:customStyle="1" w:styleId="-OlWIRberschrift5-">
    <w:name w:val="- OlWIR Überschrift 5 -"/>
    <w:basedOn w:val="berschrift5"/>
    <w:next w:val="-OlWIRStandardtext-"/>
    <w:rsid w:val="0018789E"/>
    <w:pPr>
      <w:keepNext/>
      <w:tabs>
        <w:tab w:val="left" w:pos="454"/>
      </w:tabs>
      <w:outlineLvl w:val="5"/>
    </w:pPr>
    <w:rPr>
      <w:rFonts w:ascii="Trebuchet MS" w:hAnsi="Trebuchet MS"/>
      <w:b w:val="0"/>
      <w:i w:val="0"/>
      <w:sz w:val="22"/>
    </w:rPr>
  </w:style>
  <w:style w:type="paragraph" w:customStyle="1" w:styleId="-OlWIRAbkVerz-">
    <w:name w:val="- OlWIR AbkVerz -"/>
    <w:basedOn w:val="-OlWIRStandardtext-"/>
    <w:pPr>
      <w:spacing w:after="0"/>
      <w:ind w:left="1418" w:hanging="1418"/>
      <w:jc w:val="left"/>
    </w:pPr>
  </w:style>
  <w:style w:type="paragraph" w:customStyle="1" w:styleId="-OlWIRAbbBeschriftung-">
    <w:name w:val="- OlWIR Abb. Beschriftung -"/>
    <w:next w:val="-OlWIRStandardtext-"/>
    <w:rsid w:val="00B25044"/>
    <w:pPr>
      <w:numPr>
        <w:numId w:val="8"/>
      </w:numPr>
      <w:spacing w:before="240" w:line="270" w:lineRule="exact"/>
      <w:jc w:val="center"/>
    </w:pPr>
    <w:rPr>
      <w:rFonts w:ascii="Trebuchet MS" w:hAnsi="Trebuchet MS"/>
      <w:i/>
      <w:noProof/>
      <w:sz w:val="21"/>
    </w:rPr>
  </w:style>
  <w:style w:type="paragraph" w:customStyle="1" w:styleId="-OlWIRBeitragstitel-">
    <w:name w:val="- OlWIR Beitragstitel -"/>
    <w:next w:val="-OlWIRBeitragsautoren-"/>
    <w:rsid w:val="002B344D"/>
    <w:pPr>
      <w:pageBreakBefore/>
      <w:numPr>
        <w:numId w:val="6"/>
      </w:numPr>
      <w:outlineLvl w:val="0"/>
    </w:pPr>
    <w:rPr>
      <w:rFonts w:ascii="Trebuchet MS" w:hAnsi="Trebuchet MS"/>
      <w:b/>
      <w:caps/>
      <w:color w:val="808080"/>
      <w:sz w:val="40"/>
      <w:szCs w:val="24"/>
    </w:rPr>
  </w:style>
  <w:style w:type="paragraph" w:customStyle="1" w:styleId="-OlWIRKopfzeile-">
    <w:name w:val="- OlWIR Kopfzeile -"/>
    <w:rsid w:val="00A47550"/>
    <w:pPr>
      <w:pBdr>
        <w:bottom w:val="single" w:sz="4" w:space="1" w:color="auto"/>
      </w:pBdr>
      <w:tabs>
        <w:tab w:val="center" w:pos="4536"/>
        <w:tab w:val="right" w:pos="9072"/>
      </w:tabs>
    </w:pPr>
    <w:rPr>
      <w:rFonts w:ascii="Trebuchet MS" w:hAnsi="Trebuchet MS"/>
      <w:b/>
      <w:caps/>
      <w:color w:val="808080"/>
      <w:szCs w:val="24"/>
    </w:rPr>
  </w:style>
  <w:style w:type="paragraph" w:customStyle="1" w:styleId="-OlWIRLiteratureintrag-">
    <w:name w:val="- OlWIR Literatureintrag -"/>
    <w:basedOn w:val="-OlWIRStandardtext-"/>
    <w:rsid w:val="00E11CD9"/>
    <w:pPr>
      <w:spacing w:after="60"/>
      <w:ind w:left="425" w:hanging="425"/>
    </w:pPr>
  </w:style>
  <w:style w:type="paragraph" w:customStyle="1" w:styleId="-OlWIRSeitenumbruchoberhalb-">
    <w:name w:val="- OlWIR Seitenumbruch oberhalb -"/>
    <w:basedOn w:val="-OlWIRStandardtext-"/>
    <w:pPr>
      <w:pageBreakBefore/>
    </w:pPr>
  </w:style>
  <w:style w:type="paragraph" w:customStyle="1" w:styleId="Autor">
    <w:name w:val="Autor"/>
    <w:basedOn w:val="Funotentext"/>
    <w:rPr>
      <w:smallCaps/>
    </w:rPr>
  </w:style>
  <w:style w:type="paragraph" w:customStyle="1" w:styleId="-OlWIRberschrift2-">
    <w:name w:val="- OlWIR Überschrift 2 -"/>
    <w:next w:val="-OlWIRStandardtext-"/>
    <w:rsid w:val="002B344D"/>
    <w:pPr>
      <w:keepNext/>
      <w:numPr>
        <w:ilvl w:val="2"/>
        <w:numId w:val="6"/>
      </w:numPr>
      <w:spacing w:before="240" w:after="80"/>
      <w:outlineLvl w:val="2"/>
    </w:pPr>
    <w:rPr>
      <w:rFonts w:ascii="Trebuchet MS" w:hAnsi="Trebuchet MS"/>
      <w:b/>
      <w:sz w:val="28"/>
      <w:szCs w:val="24"/>
    </w:rPr>
  </w:style>
  <w:style w:type="paragraph" w:customStyle="1" w:styleId="-OlWIRberschrift3-">
    <w:name w:val="- OlWIR Überschrift 3 -"/>
    <w:next w:val="-OlWIRStandardtext-"/>
    <w:rsid w:val="002B344D"/>
    <w:pPr>
      <w:keepNext/>
      <w:numPr>
        <w:ilvl w:val="3"/>
        <w:numId w:val="6"/>
      </w:numPr>
      <w:spacing w:before="120" w:after="80"/>
      <w:outlineLvl w:val="3"/>
    </w:pPr>
    <w:rPr>
      <w:rFonts w:ascii="Trebuchet MS" w:hAnsi="Trebuchet MS"/>
      <w:sz w:val="27"/>
      <w:szCs w:val="24"/>
    </w:rPr>
  </w:style>
  <w:style w:type="paragraph" w:customStyle="1" w:styleId="-OlWIRberschrift4-">
    <w:name w:val="- OlWIR Überschrift 4 -"/>
    <w:basedOn w:val="-OlWIRberschrift3-"/>
    <w:next w:val="-OlWIRStandardtext-"/>
    <w:rsid w:val="00B25044"/>
    <w:pPr>
      <w:numPr>
        <w:ilvl w:val="4"/>
      </w:numPr>
      <w:spacing w:after="60"/>
      <w:outlineLvl w:val="4"/>
    </w:pPr>
  </w:style>
  <w:style w:type="paragraph" w:customStyle="1" w:styleId="-OlWIRberschrift6-">
    <w:name w:val="- OlWIR Überschrift 6 -"/>
    <w:basedOn w:val="berschrift6"/>
    <w:next w:val="-OlWIRStandardtext-"/>
    <w:rsid w:val="0018789E"/>
    <w:pPr>
      <w:numPr>
        <w:ilvl w:val="5"/>
        <w:numId w:val="7"/>
      </w:numPr>
      <w:outlineLvl w:val="6"/>
    </w:pPr>
    <w:rPr>
      <w:rFonts w:ascii="Trebuchet MS" w:hAnsi="Trebuchet MS"/>
      <w:b w:val="0"/>
    </w:rPr>
  </w:style>
  <w:style w:type="paragraph" w:customStyle="1" w:styleId="-OlWIRZwischenberschrift-">
    <w:name w:val="- OlWIR Zwischenüberschrift -"/>
    <w:basedOn w:val="-OlWIRStandardtext-"/>
    <w:next w:val="Standard"/>
    <w:pPr>
      <w:keepNext/>
      <w:spacing w:before="100" w:beforeAutospacing="1" w:after="100" w:afterAutospacing="1"/>
    </w:pPr>
    <w:rPr>
      <w:b/>
      <w:bCs/>
      <w:i/>
      <w:iCs/>
    </w:rPr>
  </w:style>
  <w:style w:type="paragraph" w:customStyle="1" w:styleId="Beispiel">
    <w:name w:val="Beispiel"/>
    <w:autoRedefine/>
    <w:pPr>
      <w:widowControl w:val="0"/>
      <w:autoSpaceDE w:val="0"/>
      <w:autoSpaceDN w:val="0"/>
      <w:adjustRightInd w:val="0"/>
      <w:spacing w:before="300" w:after="300" w:line="300" w:lineRule="atLeast"/>
      <w:jc w:val="both"/>
    </w:pPr>
    <w:rPr>
      <w:b/>
      <w:spacing w:val="5"/>
      <w:sz w:val="24"/>
      <w:szCs w:val="26"/>
    </w:rPr>
  </w:style>
  <w:style w:type="character" w:styleId="BesuchterHyperlink">
    <w:name w:val="FollowedHyperlink"/>
    <w:basedOn w:val="Absatz-Standardschriftart"/>
    <w:rPr>
      <w:color w:val="800080"/>
      <w:u w:val="single"/>
    </w:rPr>
  </w:style>
  <w:style w:type="character" w:styleId="HTMLAkronym">
    <w:name w:val="HTML Acronym"/>
    <w:basedOn w:val="Absatz-Standardschriftart"/>
  </w:style>
  <w:style w:type="character" w:styleId="HTMLBeispiel">
    <w:name w:val="HTML Sample"/>
    <w:basedOn w:val="Absatz-Standardschriftart"/>
    <w:rPr>
      <w:rFonts w:ascii="Courier New" w:hAnsi="Courier New" w:cs="Courier New"/>
    </w:rPr>
  </w:style>
  <w:style w:type="character" w:styleId="HTMLCode">
    <w:name w:val="HTML Code"/>
    <w:basedOn w:val="Absatz-Standardschriftart"/>
    <w:rPr>
      <w:rFonts w:ascii="Courier New" w:hAnsi="Courier New" w:cs="Courier New"/>
      <w:sz w:val="20"/>
      <w:szCs w:val="20"/>
    </w:rPr>
  </w:style>
  <w:style w:type="character" w:styleId="HTMLDefinition">
    <w:name w:val="HTML Definition"/>
    <w:basedOn w:val="Absatz-Standardschriftart"/>
    <w:rPr>
      <w:i/>
      <w:iCs/>
    </w:rPr>
  </w:style>
  <w:style w:type="character" w:styleId="HTMLSchreibmaschine">
    <w:name w:val="HTML Typewriter"/>
    <w:basedOn w:val="Absatz-Standardschriftart"/>
    <w:rPr>
      <w:rFonts w:ascii="Courier New" w:hAnsi="Courier New" w:cs="Courier New"/>
      <w:sz w:val="20"/>
      <w:szCs w:val="20"/>
    </w:rPr>
  </w:style>
  <w:style w:type="character" w:styleId="HTMLTastatur">
    <w:name w:val="HTML Keyboard"/>
    <w:basedOn w:val="Absatz-Standardschriftart"/>
    <w:rPr>
      <w:rFonts w:ascii="Courier New" w:hAnsi="Courier New" w:cs="Courier New"/>
      <w:sz w:val="20"/>
      <w:szCs w:val="20"/>
    </w:rPr>
  </w:style>
  <w:style w:type="character" w:styleId="HTMLVariable">
    <w:name w:val="HTML Variable"/>
    <w:basedOn w:val="Absatz-Standardschriftart"/>
    <w:rPr>
      <w:i/>
      <w:iCs/>
    </w:rPr>
  </w:style>
  <w:style w:type="character" w:styleId="HTMLZitat">
    <w:name w:val="HTML Cite"/>
    <w:basedOn w:val="Absatz-Standardschriftart"/>
    <w:rPr>
      <w:i/>
      <w:iCs/>
    </w:rPr>
  </w:style>
  <w:style w:type="paragraph" w:styleId="Kommentarthema">
    <w:name w:val="annotation subject"/>
    <w:basedOn w:val="Kommentartext"/>
    <w:next w:val="Kommentartext"/>
    <w:rPr>
      <w:b/>
      <w:bCs/>
    </w:rPr>
  </w:style>
  <w:style w:type="character" w:styleId="Kommentarzeichen">
    <w:name w:val="annotation reference"/>
    <w:basedOn w:val="Absatz-Standardschriftart"/>
    <w:rPr>
      <w:sz w:val="16"/>
      <w:szCs w:val="16"/>
    </w:rPr>
  </w:style>
  <w:style w:type="paragraph" w:styleId="Sprechblasentext">
    <w:name w:val="Balloon Text"/>
    <w:basedOn w:val="Standard"/>
    <w:rPr>
      <w:rFonts w:ascii="Tahoma" w:hAnsi="Tahoma" w:cs="Tahoma"/>
      <w:sz w:val="16"/>
      <w:szCs w:val="16"/>
    </w:rPr>
  </w:style>
  <w:style w:type="paragraph" w:customStyle="1" w:styleId="Tabelle">
    <w:name w:val="Tabelle"/>
    <w:pPr>
      <w:spacing w:after="360"/>
    </w:pPr>
    <w:rPr>
      <w:rFonts w:ascii="Swis721 BT" w:hAnsi="Swis721 BT" w:cs="Arial"/>
      <w:noProof/>
      <w:sz w:val="22"/>
      <w:szCs w:val="22"/>
    </w:rPr>
  </w:style>
  <w:style w:type="character" w:styleId="Zeilennummer">
    <w:name w:val="line number"/>
    <w:basedOn w:val="Absatz-Standardschriftart"/>
  </w:style>
  <w:style w:type="paragraph" w:customStyle="1" w:styleId="-OlWIRZusammenfassungTextEinzug-">
    <w:name w:val="- OlWIR Zusammenfassung Text Einzug -"/>
    <w:basedOn w:val="-OlWIRZusammenfassungText-"/>
    <w:rsid w:val="00682660"/>
    <w:pPr>
      <w:ind w:firstLine="170"/>
    </w:pPr>
  </w:style>
  <w:style w:type="paragraph" w:customStyle="1" w:styleId="-OlWIRAbbildung-">
    <w:name w:val="- OlWIR Abbildung -"/>
    <w:basedOn w:val="-OlWIRStandardtextEinzug-"/>
    <w:next w:val="-OlWIRAbbBeschriftung-"/>
    <w:rsid w:val="00B25044"/>
    <w:pPr>
      <w:keepNext/>
      <w:keepLines/>
      <w:spacing w:before="240" w:after="0" w:line="240" w:lineRule="auto"/>
      <w:ind w:firstLine="0"/>
      <w:jc w:val="center"/>
    </w:pPr>
  </w:style>
  <w:style w:type="paragraph" w:customStyle="1" w:styleId="-DissLiteratureintrag-">
    <w:name w:val="- Diss Literatureintrag -"/>
    <w:basedOn w:val="Standard"/>
    <w:rsid w:val="00E303F3"/>
    <w:pPr>
      <w:spacing w:after="60" w:line="300" w:lineRule="exact"/>
      <w:ind w:left="425" w:hanging="425"/>
      <w:jc w:val="both"/>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0559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K:\113\Herbstakademie\Format-Vorlagen\Formatvorlage-Herbstakademie%20-%202017.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6BC92F-E5E2-4AB8-A711-D09C4248FA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Formatvorlage-Herbstakademie - 2017</Template>
  <TotalTime>0</TotalTime>
  <Pages>7</Pages>
  <Words>1980</Words>
  <Characters>12481</Characters>
  <Application>Microsoft Office Word</Application>
  <DocSecurity>0</DocSecurity>
  <Lines>104</Lines>
  <Paragraphs>28</Paragraphs>
  <ScaleCrop>false</ScaleCrop>
  <HeadingPairs>
    <vt:vector size="2" baseType="variant">
      <vt:variant>
        <vt:lpstr>Titel</vt:lpstr>
      </vt:variant>
      <vt:variant>
        <vt:i4>1</vt:i4>
      </vt:variant>
    </vt:vector>
  </HeadingPairs>
  <TitlesOfParts>
    <vt:vector size="1" baseType="lpstr">
      <vt:lpstr>OlWIR Vorlage Oldenburger Tagungsband Serie</vt:lpstr>
    </vt:vector>
  </TitlesOfParts>
  <Company/>
  <LinksUpToDate>false</LinksUpToDate>
  <CharactersWithSpaces>14433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OlWIR Vorlage Oldenburger Tagungsband Serie</dc:title>
  <dc:subject>Oldenburger Tagungsband Serie</dc:subject>
  <dc:creator>Angela Fröhlich</dc:creator>
  <dc:description>Diese Vorlage beinhaltet grundlegende Formate für die Bucherstellung des OlWIR-Verlages. Die Formate sind jeweils mit "- OlWIR Formatname -" bezeichnet. Sonderfälle können natürlich durch eigene Formate bestimmt werden, die sich in Schriftbild und -größe in das Gesamtlayout eingliedern sollten.</dc:description>
  <cp:lastModifiedBy>Habel</cp:lastModifiedBy>
  <cp:revision>3</cp:revision>
  <cp:lastPrinted>2020-07-03T14:28:00Z</cp:lastPrinted>
  <dcterms:created xsi:type="dcterms:W3CDTF">2020-07-03T14:43:00Z</dcterms:created>
  <dcterms:modified xsi:type="dcterms:W3CDTF">2020-07-06T07:20:00Z</dcterms:modified>
</cp:coreProperties>
</file>